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C97852">
      <w:pPr>
        <w:spacing w:before="2400" w:after="200"/>
        <w:jc w:val="center"/>
      </w:pPr>
      <w:r>
        <w:rPr>
          <w:rFonts w:ascii="Times New Roman" w:hAnsi="Times New Roman" w:eastAsia="方正小标宋简体" w:cs="Times New Roman"/>
          <w:b/>
          <w:bCs/>
          <w:sz w:val="52"/>
          <w:szCs w:val="52"/>
        </w:rPr>
        <w:t>2025年度锡林浩特市人民检察院</w:t>
      </w:r>
    </w:p>
    <w:p w14:paraId="4202E213">
      <w:pPr>
        <w:spacing w:after="2400"/>
        <w:jc w:val="center"/>
      </w:pPr>
      <w:r>
        <w:rPr>
          <w:rFonts w:ascii="Times New Roman" w:hAnsi="Times New Roman" w:eastAsia="方正小标宋简体" w:cs="Times New Roman"/>
          <w:b/>
          <w:bCs/>
          <w:sz w:val="52"/>
          <w:szCs w:val="52"/>
        </w:rPr>
        <w:t>决算公开报告</w:t>
      </w:r>
    </w:p>
    <w:p w14:paraId="4DAA9E34">
      <w:pPr>
        <w:spacing w:after="240"/>
        <w:ind w:firstLine="2240" w:firstLineChars="700"/>
        <w:jc w:val="both"/>
      </w:pPr>
      <w:r>
        <w:rPr>
          <w:rFonts w:ascii="Times New Roman" w:hAnsi="Times New Roman" w:eastAsia="仿宋" w:cs="Times New Roman"/>
          <w:sz w:val="32"/>
          <w:szCs w:val="32"/>
        </w:rPr>
        <w:t>单位名称：锡林浩特市人民检察院</w:t>
      </w:r>
    </w:p>
    <w:p w14:paraId="2A54BAE6">
      <w:pPr>
        <w:spacing w:after="240"/>
        <w:ind w:firstLine="2240" w:firstLineChars="700"/>
        <w:jc w:val="both"/>
      </w:pPr>
      <w:r>
        <w:rPr>
          <w:rFonts w:ascii="Times New Roman" w:hAnsi="Times New Roman" w:eastAsia="仿宋" w:cs="Times New Roman"/>
          <w:sz w:val="32"/>
          <w:szCs w:val="32"/>
        </w:rPr>
        <w:t>单位负责人：路  征</w:t>
      </w:r>
    </w:p>
    <w:p w14:paraId="04B82BE1">
      <w:pPr>
        <w:spacing w:after="240"/>
        <w:ind w:firstLine="2240" w:firstLineChars="700"/>
        <w:jc w:val="both"/>
      </w:pPr>
      <w:r>
        <w:rPr>
          <w:rFonts w:ascii="Times New Roman" w:hAnsi="Times New Roman" w:eastAsia="仿宋" w:cs="Times New Roman"/>
          <w:sz w:val="32"/>
          <w:szCs w:val="32"/>
        </w:rPr>
        <w:t>财务负责人：任  蕊</w:t>
      </w:r>
    </w:p>
    <w:p w14:paraId="4FDC0DFD">
      <w:pPr>
        <w:spacing w:after="240"/>
        <w:ind w:firstLine="2240" w:firstLineChars="700"/>
        <w:jc w:val="both"/>
      </w:pPr>
      <w:r>
        <w:rPr>
          <w:rFonts w:ascii="Times New Roman" w:hAnsi="Times New Roman" w:eastAsia="仿宋" w:cs="Times New Roman"/>
          <w:sz w:val="32"/>
          <w:szCs w:val="32"/>
        </w:rPr>
        <w:t>编  制  人：李宇恒</w:t>
      </w:r>
    </w:p>
    <w:p w14:paraId="52DE70C9">
      <w:pPr>
        <w:spacing w:after="240"/>
        <w:ind w:firstLine="2240" w:firstLineChars="700"/>
        <w:jc w:val="both"/>
      </w:pPr>
      <w:r>
        <w:rPr>
          <w:rFonts w:ascii="Times New Roman" w:hAnsi="Times New Roman" w:eastAsia="仿宋" w:cs="Times New Roman"/>
          <w:sz w:val="32"/>
          <w:szCs w:val="32"/>
        </w:rPr>
        <w:t>报送日期：2026年8月</w:t>
      </w:r>
    </w:p>
    <w:p w14:paraId="12362178">
      <w:pPr>
        <w:pageBreakBefore/>
        <w:sectPr>
          <w:footerReference r:id="rId3" w:type="default"/>
          <w:pgSz w:w="11906" w:h="16838"/>
          <w:pgMar w:top="1440" w:right="1440" w:bottom="1440" w:left="1440" w:header="708" w:footer="708" w:gutter="0"/>
          <w:cols w:space="720" w:num="1"/>
          <w:docGrid w:linePitch="360" w:charSpace="0"/>
        </w:sectPr>
      </w:pPr>
    </w:p>
    <w:p w14:paraId="47A5884F">
      <w:pPr>
        <w:pageBreakBefore/>
      </w:pPr>
    </w:p>
    <w:p w14:paraId="7082A96F">
      <w:pPr>
        <w:spacing w:before="400" w:after="320"/>
        <w:jc w:val="center"/>
      </w:pPr>
      <w:r>
        <w:rPr>
          <w:rFonts w:ascii="Times New Roman" w:hAnsi="Times New Roman" w:eastAsia="黑体" w:cs="Times New Roman"/>
          <w:b/>
          <w:bCs/>
          <w:sz w:val="36"/>
          <w:szCs w:val="36"/>
        </w:rPr>
        <w:t>目  录</w:t>
      </w:r>
    </w:p>
    <w:sdt>
      <w:sdtPr>
        <w:alias w:val="目录"/>
        <w:id w:val="147480975"/>
      </w:sdtPr>
      <w:sdtContent>
        <w:p w14:paraId="6C5410D2">
          <w:pPr>
            <w:rPr>
              <w:rFonts w:ascii="Times New Roman" w:hAnsi="Times New Roman" w:eastAsia="仿宋" w:cs="Times New Roman"/>
              <w:sz w:val="28"/>
              <w:szCs w:val="28"/>
            </w:rPr>
          </w:pPr>
          <w:r>
            <w:fldChar w:fldCharType="begin"/>
          </w:r>
          <w:r>
            <w:instrText xml:space="preserve"> TOC \o "1-2" \h \z \u </w:instrText>
          </w:r>
          <w:r>
            <w:fldChar w:fldCharType="separate"/>
          </w:r>
        </w:p>
        <w:p w14:paraId="12046745">
          <w:pPr>
            <w:pStyle w:val="11"/>
            <w:tabs>
              <w:tab w:val="right" w:leader="dot" w:pos="9026"/>
            </w:tabs>
          </w:pPr>
          <w:r>
            <w:fldChar w:fldCharType="begin"/>
          </w:r>
          <w:r>
            <w:instrText xml:space="preserve"> HYPERLINK \l _Toc16324 </w:instrText>
          </w:r>
          <w:r>
            <w:fldChar w:fldCharType="separate"/>
          </w:r>
          <w:r>
            <w:rPr>
              <w:rFonts w:ascii="Times New Roman" w:hAnsi="Times New Roman" w:eastAsia="黑体" w:cs="Times New Roman"/>
              <w:bCs/>
              <w:szCs w:val="32"/>
            </w:rPr>
            <w:t>第一部分  部门（单位）概况</w:t>
          </w:r>
          <w:r>
            <w:tab/>
          </w:r>
          <w:r>
            <w:fldChar w:fldCharType="begin"/>
          </w:r>
          <w:r>
            <w:instrText xml:space="preserve"> PAGEREF _Toc16324 \h </w:instrText>
          </w:r>
          <w:r>
            <w:fldChar w:fldCharType="separate"/>
          </w:r>
          <w:r>
            <w:t>1</w:t>
          </w:r>
          <w:r>
            <w:fldChar w:fldCharType="end"/>
          </w:r>
          <w:r>
            <w:fldChar w:fldCharType="end"/>
          </w:r>
        </w:p>
        <w:p w14:paraId="61AF26E0">
          <w:pPr>
            <w:pStyle w:val="13"/>
            <w:tabs>
              <w:tab w:val="right" w:leader="dot" w:pos="9026"/>
            </w:tabs>
          </w:pPr>
          <w:r>
            <w:fldChar w:fldCharType="begin"/>
          </w:r>
          <w:r>
            <w:instrText xml:space="preserve"> HYPERLINK \l _Toc27298 </w:instrText>
          </w:r>
          <w:r>
            <w:fldChar w:fldCharType="separate"/>
          </w:r>
          <w:r>
            <w:rPr>
              <w:rFonts w:ascii="Times New Roman" w:hAnsi="Times New Roman" w:eastAsia="黑体" w:cs="Times New Roman"/>
              <w:bCs/>
              <w:szCs w:val="28"/>
            </w:rPr>
            <w:t>一、主要职能、职责</w:t>
          </w:r>
          <w:r>
            <w:tab/>
          </w:r>
          <w:r>
            <w:fldChar w:fldCharType="begin"/>
          </w:r>
          <w:r>
            <w:instrText xml:space="preserve"> PAGEREF _Toc27298 \h </w:instrText>
          </w:r>
          <w:r>
            <w:fldChar w:fldCharType="separate"/>
          </w:r>
          <w:r>
            <w:t>1</w:t>
          </w:r>
          <w:r>
            <w:fldChar w:fldCharType="end"/>
          </w:r>
          <w:r>
            <w:fldChar w:fldCharType="end"/>
          </w:r>
        </w:p>
        <w:p w14:paraId="01C0B10E">
          <w:pPr>
            <w:pStyle w:val="13"/>
            <w:tabs>
              <w:tab w:val="right" w:leader="dot" w:pos="9026"/>
            </w:tabs>
          </w:pPr>
          <w:r>
            <w:fldChar w:fldCharType="begin"/>
          </w:r>
          <w:r>
            <w:instrText xml:space="preserve"> HYPERLINK \l _Toc29100 </w:instrText>
          </w:r>
          <w:r>
            <w:fldChar w:fldCharType="separate"/>
          </w:r>
          <w:r>
            <w:rPr>
              <w:rFonts w:ascii="Times New Roman" w:hAnsi="Times New Roman" w:eastAsia="黑体" w:cs="Times New Roman"/>
              <w:bCs/>
              <w:szCs w:val="28"/>
            </w:rPr>
            <w:t>二、部门（单位）机构设置及决算单位构成情况</w:t>
          </w:r>
          <w:r>
            <w:tab/>
          </w:r>
          <w:r>
            <w:fldChar w:fldCharType="begin"/>
          </w:r>
          <w:r>
            <w:instrText xml:space="preserve"> PAGEREF _Toc29100 \h </w:instrText>
          </w:r>
          <w:r>
            <w:fldChar w:fldCharType="separate"/>
          </w:r>
          <w:r>
            <w:t>1</w:t>
          </w:r>
          <w:r>
            <w:fldChar w:fldCharType="end"/>
          </w:r>
          <w:r>
            <w:fldChar w:fldCharType="end"/>
          </w:r>
        </w:p>
        <w:p w14:paraId="7963D30B">
          <w:pPr>
            <w:pStyle w:val="13"/>
            <w:tabs>
              <w:tab w:val="right" w:leader="dot" w:pos="9026"/>
            </w:tabs>
          </w:pPr>
          <w:r>
            <w:fldChar w:fldCharType="begin"/>
          </w:r>
          <w:r>
            <w:instrText xml:space="preserve"> HYPERLINK \l _Toc11916 </w:instrText>
          </w:r>
          <w:r>
            <w:fldChar w:fldCharType="separate"/>
          </w:r>
          <w:r>
            <w:rPr>
              <w:rFonts w:ascii="Times New Roman" w:hAnsi="Times New Roman" w:eastAsia="黑体" w:cs="Times New Roman"/>
              <w:bCs/>
              <w:szCs w:val="28"/>
            </w:rPr>
            <w:t>三、2025年度部门（单位）主要工作完成情况</w:t>
          </w:r>
          <w:r>
            <w:tab/>
          </w:r>
          <w:r>
            <w:fldChar w:fldCharType="begin"/>
          </w:r>
          <w:r>
            <w:instrText xml:space="preserve"> PAGEREF _Toc11916 \h </w:instrText>
          </w:r>
          <w:r>
            <w:fldChar w:fldCharType="separate"/>
          </w:r>
          <w:r>
            <w:t>1</w:t>
          </w:r>
          <w:r>
            <w:fldChar w:fldCharType="end"/>
          </w:r>
          <w:r>
            <w:fldChar w:fldCharType="end"/>
          </w:r>
        </w:p>
        <w:p w14:paraId="04D05E5E">
          <w:pPr>
            <w:pStyle w:val="11"/>
            <w:tabs>
              <w:tab w:val="right" w:leader="dot" w:pos="9026"/>
            </w:tabs>
          </w:pPr>
          <w:r>
            <w:fldChar w:fldCharType="begin"/>
          </w:r>
          <w:r>
            <w:instrText xml:space="preserve"> HYPERLINK \l _Toc1822 </w:instrText>
          </w:r>
          <w:r>
            <w:fldChar w:fldCharType="separate"/>
          </w:r>
          <w:r>
            <w:rPr>
              <w:rFonts w:ascii="Times New Roman" w:hAnsi="Times New Roman" w:eastAsia="黑体" w:cs="Times New Roman"/>
              <w:bCs/>
              <w:szCs w:val="32"/>
            </w:rPr>
            <w:t>第二部分  部门（单位）决算情况说明</w:t>
          </w:r>
          <w:r>
            <w:tab/>
          </w:r>
          <w:r>
            <w:fldChar w:fldCharType="begin"/>
          </w:r>
          <w:r>
            <w:instrText xml:space="preserve"> PAGEREF _Toc1822 \h </w:instrText>
          </w:r>
          <w:r>
            <w:fldChar w:fldCharType="separate"/>
          </w:r>
          <w:r>
            <w:t>3</w:t>
          </w:r>
          <w:r>
            <w:fldChar w:fldCharType="end"/>
          </w:r>
          <w:r>
            <w:fldChar w:fldCharType="end"/>
          </w:r>
        </w:p>
        <w:p w14:paraId="4087B3AE">
          <w:pPr>
            <w:pStyle w:val="13"/>
            <w:tabs>
              <w:tab w:val="right" w:leader="dot" w:pos="9026"/>
            </w:tabs>
          </w:pPr>
          <w:r>
            <w:fldChar w:fldCharType="begin"/>
          </w:r>
          <w:r>
            <w:instrText xml:space="preserve"> HYPERLINK \l _Toc70 </w:instrText>
          </w:r>
          <w:r>
            <w:fldChar w:fldCharType="separate"/>
          </w:r>
          <w:r>
            <w:rPr>
              <w:rFonts w:ascii="Times New Roman" w:hAnsi="Times New Roman" w:eastAsia="黑体" w:cs="Times New Roman"/>
              <w:bCs/>
              <w:szCs w:val="28"/>
            </w:rPr>
            <w:t>一、收入支出决算总体情况说明</w:t>
          </w:r>
          <w:r>
            <w:tab/>
          </w:r>
          <w:r>
            <w:fldChar w:fldCharType="begin"/>
          </w:r>
          <w:r>
            <w:instrText xml:space="preserve"> PAGEREF _Toc70 \h </w:instrText>
          </w:r>
          <w:r>
            <w:fldChar w:fldCharType="separate"/>
          </w:r>
          <w:r>
            <w:t>3</w:t>
          </w:r>
          <w:r>
            <w:fldChar w:fldCharType="end"/>
          </w:r>
          <w:r>
            <w:fldChar w:fldCharType="end"/>
          </w:r>
        </w:p>
        <w:p w14:paraId="406CCE61">
          <w:pPr>
            <w:pStyle w:val="13"/>
            <w:tabs>
              <w:tab w:val="right" w:leader="dot" w:pos="9026"/>
            </w:tabs>
          </w:pPr>
          <w:r>
            <w:fldChar w:fldCharType="begin"/>
          </w:r>
          <w:r>
            <w:instrText xml:space="preserve"> HYPERLINK \l _Toc15082 </w:instrText>
          </w:r>
          <w:r>
            <w:fldChar w:fldCharType="separate"/>
          </w:r>
          <w:r>
            <w:rPr>
              <w:rFonts w:ascii="Times New Roman" w:hAnsi="Times New Roman" w:eastAsia="黑体" w:cs="Times New Roman"/>
              <w:bCs/>
              <w:szCs w:val="28"/>
            </w:rPr>
            <w:t>二、收入决算情况说明</w:t>
          </w:r>
          <w:r>
            <w:tab/>
          </w:r>
          <w:r>
            <w:fldChar w:fldCharType="begin"/>
          </w:r>
          <w:r>
            <w:instrText xml:space="preserve"> PAGEREF _Toc15082 \h </w:instrText>
          </w:r>
          <w:r>
            <w:fldChar w:fldCharType="separate"/>
          </w:r>
          <w:r>
            <w:t>3</w:t>
          </w:r>
          <w:r>
            <w:fldChar w:fldCharType="end"/>
          </w:r>
          <w:r>
            <w:fldChar w:fldCharType="end"/>
          </w:r>
        </w:p>
        <w:p w14:paraId="465F7C8E">
          <w:pPr>
            <w:pStyle w:val="13"/>
            <w:tabs>
              <w:tab w:val="right" w:leader="dot" w:pos="9026"/>
            </w:tabs>
          </w:pPr>
          <w:r>
            <w:fldChar w:fldCharType="begin"/>
          </w:r>
          <w:r>
            <w:instrText xml:space="preserve"> HYPERLINK \l _Toc19609 </w:instrText>
          </w:r>
          <w:r>
            <w:fldChar w:fldCharType="separate"/>
          </w:r>
          <w:r>
            <w:rPr>
              <w:rFonts w:ascii="Times New Roman" w:hAnsi="Times New Roman" w:eastAsia="黑体" w:cs="Times New Roman"/>
              <w:bCs/>
              <w:szCs w:val="28"/>
            </w:rPr>
            <w:t>三、支出决算情况说明</w:t>
          </w:r>
          <w:r>
            <w:tab/>
          </w:r>
          <w:r>
            <w:fldChar w:fldCharType="begin"/>
          </w:r>
          <w:r>
            <w:instrText xml:space="preserve"> PAGEREF _Toc19609 \h </w:instrText>
          </w:r>
          <w:r>
            <w:fldChar w:fldCharType="separate"/>
          </w:r>
          <w:r>
            <w:t>4</w:t>
          </w:r>
          <w:r>
            <w:fldChar w:fldCharType="end"/>
          </w:r>
          <w:r>
            <w:fldChar w:fldCharType="end"/>
          </w:r>
        </w:p>
        <w:p w14:paraId="4AA49A2D">
          <w:pPr>
            <w:pStyle w:val="13"/>
            <w:tabs>
              <w:tab w:val="right" w:leader="dot" w:pos="9026"/>
            </w:tabs>
          </w:pPr>
          <w:r>
            <w:fldChar w:fldCharType="begin"/>
          </w:r>
          <w:r>
            <w:instrText xml:space="preserve"> HYPERLINK \l _Toc30443 </w:instrText>
          </w:r>
          <w:r>
            <w:fldChar w:fldCharType="separate"/>
          </w:r>
          <w:r>
            <w:rPr>
              <w:rFonts w:ascii="Times New Roman" w:hAnsi="Times New Roman" w:eastAsia="黑体" w:cs="Times New Roman"/>
              <w:bCs/>
              <w:szCs w:val="28"/>
            </w:rPr>
            <w:t>四、财政拨款收入支出决算总体情况说明</w:t>
          </w:r>
          <w:r>
            <w:tab/>
          </w:r>
          <w:r>
            <w:fldChar w:fldCharType="begin"/>
          </w:r>
          <w:r>
            <w:instrText xml:space="preserve"> PAGEREF _Toc30443 \h </w:instrText>
          </w:r>
          <w:r>
            <w:fldChar w:fldCharType="separate"/>
          </w:r>
          <w:r>
            <w:t>5</w:t>
          </w:r>
          <w:r>
            <w:fldChar w:fldCharType="end"/>
          </w:r>
          <w:r>
            <w:fldChar w:fldCharType="end"/>
          </w:r>
        </w:p>
        <w:p w14:paraId="6FD90DA7">
          <w:pPr>
            <w:pStyle w:val="13"/>
            <w:tabs>
              <w:tab w:val="right" w:leader="dot" w:pos="9026"/>
            </w:tabs>
          </w:pPr>
          <w:r>
            <w:fldChar w:fldCharType="begin"/>
          </w:r>
          <w:r>
            <w:instrText xml:space="preserve"> HYPERLINK \l _Toc11594 </w:instrText>
          </w:r>
          <w:r>
            <w:fldChar w:fldCharType="separate"/>
          </w:r>
          <w:r>
            <w:rPr>
              <w:rFonts w:ascii="Times New Roman" w:hAnsi="Times New Roman" w:eastAsia="黑体" w:cs="Times New Roman"/>
              <w:bCs/>
              <w:szCs w:val="28"/>
            </w:rPr>
            <w:t>五、一般公共预算财政拨款支出决算情况说明</w:t>
          </w:r>
          <w:r>
            <w:tab/>
          </w:r>
          <w:r>
            <w:fldChar w:fldCharType="begin"/>
          </w:r>
          <w:r>
            <w:instrText xml:space="preserve"> PAGEREF _Toc11594 \h </w:instrText>
          </w:r>
          <w:r>
            <w:fldChar w:fldCharType="separate"/>
          </w:r>
          <w:r>
            <w:t>5</w:t>
          </w:r>
          <w:r>
            <w:fldChar w:fldCharType="end"/>
          </w:r>
          <w:r>
            <w:fldChar w:fldCharType="end"/>
          </w:r>
        </w:p>
        <w:p w14:paraId="4DDF07B3">
          <w:pPr>
            <w:pStyle w:val="13"/>
            <w:tabs>
              <w:tab w:val="right" w:leader="dot" w:pos="9026"/>
            </w:tabs>
          </w:pPr>
          <w:r>
            <w:fldChar w:fldCharType="begin"/>
          </w:r>
          <w:r>
            <w:instrText xml:space="preserve"> HYPERLINK \l _Toc12251 </w:instrText>
          </w:r>
          <w:r>
            <w:fldChar w:fldCharType="separate"/>
          </w:r>
          <w:r>
            <w:rPr>
              <w:rFonts w:ascii="Times New Roman" w:hAnsi="Times New Roman" w:eastAsia="黑体" w:cs="Times New Roman"/>
              <w:bCs/>
              <w:szCs w:val="28"/>
            </w:rPr>
            <w:t>六、一般公共预算财政拨款基本支出决算情况说明</w:t>
          </w:r>
          <w:r>
            <w:tab/>
          </w:r>
          <w:r>
            <w:fldChar w:fldCharType="begin"/>
          </w:r>
          <w:r>
            <w:instrText xml:space="preserve"> PAGEREF _Toc12251 \h </w:instrText>
          </w:r>
          <w:r>
            <w:fldChar w:fldCharType="separate"/>
          </w:r>
          <w:r>
            <w:t>8</w:t>
          </w:r>
          <w:r>
            <w:fldChar w:fldCharType="end"/>
          </w:r>
          <w:r>
            <w:fldChar w:fldCharType="end"/>
          </w:r>
        </w:p>
        <w:p w14:paraId="501488DA">
          <w:pPr>
            <w:pStyle w:val="13"/>
            <w:tabs>
              <w:tab w:val="right" w:leader="dot" w:pos="9026"/>
            </w:tabs>
          </w:pPr>
          <w:r>
            <w:fldChar w:fldCharType="begin"/>
          </w:r>
          <w:r>
            <w:instrText xml:space="preserve"> HYPERLINK \l _Toc9739 </w:instrText>
          </w:r>
          <w:r>
            <w:fldChar w:fldCharType="separate"/>
          </w:r>
          <w:r>
            <w:rPr>
              <w:rFonts w:ascii="Times New Roman" w:hAnsi="Times New Roman" w:eastAsia="黑体" w:cs="Times New Roman"/>
              <w:bCs/>
              <w:szCs w:val="28"/>
            </w:rPr>
            <w:t>七、一般公共预算财政拨款项目支出决算情况说明</w:t>
          </w:r>
          <w:r>
            <w:tab/>
          </w:r>
          <w:r>
            <w:fldChar w:fldCharType="begin"/>
          </w:r>
          <w:r>
            <w:instrText xml:space="preserve"> PAGEREF _Toc9739 \h </w:instrText>
          </w:r>
          <w:r>
            <w:fldChar w:fldCharType="separate"/>
          </w:r>
          <w:r>
            <w:t>8</w:t>
          </w:r>
          <w:r>
            <w:fldChar w:fldCharType="end"/>
          </w:r>
          <w:r>
            <w:fldChar w:fldCharType="end"/>
          </w:r>
        </w:p>
        <w:p w14:paraId="24C9D436">
          <w:pPr>
            <w:pStyle w:val="13"/>
            <w:tabs>
              <w:tab w:val="right" w:leader="dot" w:pos="9026"/>
            </w:tabs>
          </w:pPr>
          <w:r>
            <w:fldChar w:fldCharType="begin"/>
          </w:r>
          <w:r>
            <w:instrText xml:space="preserve"> HYPERLINK \l _Toc15619 </w:instrText>
          </w:r>
          <w:r>
            <w:fldChar w:fldCharType="separate"/>
          </w:r>
          <w:r>
            <w:rPr>
              <w:rFonts w:ascii="Times New Roman" w:hAnsi="Times New Roman" w:eastAsia="黑体" w:cs="Times New Roman"/>
              <w:bCs/>
              <w:szCs w:val="28"/>
            </w:rPr>
            <w:t>八、财政拨款“三公”经费支出决算情况说明</w:t>
          </w:r>
          <w:r>
            <w:tab/>
          </w:r>
          <w:r>
            <w:fldChar w:fldCharType="begin"/>
          </w:r>
          <w:r>
            <w:instrText xml:space="preserve"> PAGEREF _Toc15619 \h </w:instrText>
          </w:r>
          <w:r>
            <w:fldChar w:fldCharType="separate"/>
          </w:r>
          <w:r>
            <w:t>9</w:t>
          </w:r>
          <w:r>
            <w:fldChar w:fldCharType="end"/>
          </w:r>
          <w:r>
            <w:fldChar w:fldCharType="end"/>
          </w:r>
        </w:p>
        <w:p w14:paraId="141E6DC1">
          <w:pPr>
            <w:pStyle w:val="13"/>
            <w:tabs>
              <w:tab w:val="right" w:leader="dot" w:pos="9026"/>
            </w:tabs>
          </w:pPr>
          <w:r>
            <w:fldChar w:fldCharType="begin"/>
          </w:r>
          <w:r>
            <w:instrText xml:space="preserve"> HYPERLINK \l _Toc29174 </w:instrText>
          </w:r>
          <w:r>
            <w:fldChar w:fldCharType="separate"/>
          </w:r>
          <w:r>
            <w:rPr>
              <w:rFonts w:ascii="Times New Roman" w:hAnsi="Times New Roman" w:eastAsia="黑体" w:cs="Times New Roman"/>
              <w:bCs/>
              <w:szCs w:val="28"/>
            </w:rPr>
            <w:t>九、政府性基金预算财政拨款支出决算情况说明</w:t>
          </w:r>
          <w:r>
            <w:tab/>
          </w:r>
          <w:r>
            <w:fldChar w:fldCharType="begin"/>
          </w:r>
          <w:r>
            <w:instrText xml:space="preserve"> PAGEREF _Toc29174 \h </w:instrText>
          </w:r>
          <w:r>
            <w:fldChar w:fldCharType="separate"/>
          </w:r>
          <w:r>
            <w:t>10</w:t>
          </w:r>
          <w:r>
            <w:fldChar w:fldCharType="end"/>
          </w:r>
          <w:r>
            <w:fldChar w:fldCharType="end"/>
          </w:r>
          <w:bookmarkStart w:id="22" w:name="_GoBack"/>
          <w:bookmarkEnd w:id="22"/>
        </w:p>
        <w:p w14:paraId="4A416F7F">
          <w:pPr>
            <w:pStyle w:val="13"/>
            <w:tabs>
              <w:tab w:val="right" w:leader="dot" w:pos="9026"/>
            </w:tabs>
          </w:pPr>
          <w:r>
            <w:fldChar w:fldCharType="begin"/>
          </w:r>
          <w:r>
            <w:instrText xml:space="preserve"> HYPERLINK \l _Toc29242 </w:instrText>
          </w:r>
          <w:r>
            <w:fldChar w:fldCharType="separate"/>
          </w:r>
          <w:r>
            <w:rPr>
              <w:rFonts w:ascii="Times New Roman" w:hAnsi="Times New Roman" w:eastAsia="黑体" w:cs="Times New Roman"/>
              <w:bCs/>
              <w:szCs w:val="28"/>
            </w:rPr>
            <w:t>十、国有资本经营预算财政拨款支出决算情况说明</w:t>
          </w:r>
          <w:r>
            <w:tab/>
          </w:r>
          <w:r>
            <w:fldChar w:fldCharType="begin"/>
          </w:r>
          <w:r>
            <w:instrText xml:space="preserve"> PAGEREF _Toc29242 \h </w:instrText>
          </w:r>
          <w:r>
            <w:fldChar w:fldCharType="separate"/>
          </w:r>
          <w:r>
            <w:t>10</w:t>
          </w:r>
          <w:r>
            <w:fldChar w:fldCharType="end"/>
          </w:r>
          <w:r>
            <w:fldChar w:fldCharType="end"/>
          </w:r>
        </w:p>
        <w:p w14:paraId="3D3F7E34">
          <w:pPr>
            <w:pStyle w:val="13"/>
            <w:tabs>
              <w:tab w:val="right" w:leader="dot" w:pos="9026"/>
            </w:tabs>
          </w:pPr>
          <w:r>
            <w:fldChar w:fldCharType="begin"/>
          </w:r>
          <w:r>
            <w:instrText xml:space="preserve"> HYPERLINK \l _Toc11781 </w:instrText>
          </w:r>
          <w:r>
            <w:fldChar w:fldCharType="separate"/>
          </w:r>
          <w:r>
            <w:rPr>
              <w:rFonts w:ascii="Times New Roman" w:hAnsi="Times New Roman" w:eastAsia="黑体" w:cs="Times New Roman"/>
              <w:bCs/>
              <w:szCs w:val="28"/>
            </w:rPr>
            <w:t>十一、机关运行经费（公用经费）支出决算情况说明</w:t>
          </w:r>
          <w:r>
            <w:tab/>
          </w:r>
          <w:r>
            <w:fldChar w:fldCharType="begin"/>
          </w:r>
          <w:r>
            <w:instrText xml:space="preserve"> PAGEREF _Toc11781 \h </w:instrText>
          </w:r>
          <w:r>
            <w:fldChar w:fldCharType="separate"/>
          </w:r>
          <w:r>
            <w:t>10</w:t>
          </w:r>
          <w:r>
            <w:fldChar w:fldCharType="end"/>
          </w:r>
          <w:r>
            <w:fldChar w:fldCharType="end"/>
          </w:r>
        </w:p>
        <w:p w14:paraId="71EAC52A">
          <w:pPr>
            <w:pStyle w:val="13"/>
            <w:tabs>
              <w:tab w:val="right" w:leader="dot" w:pos="9026"/>
            </w:tabs>
          </w:pPr>
          <w:r>
            <w:fldChar w:fldCharType="begin"/>
          </w:r>
          <w:r>
            <w:instrText xml:space="preserve"> HYPERLINK \l _Toc14094 </w:instrText>
          </w:r>
          <w:r>
            <w:fldChar w:fldCharType="separate"/>
          </w:r>
          <w:r>
            <w:rPr>
              <w:rFonts w:ascii="Times New Roman" w:hAnsi="Times New Roman" w:eastAsia="黑体" w:cs="Times New Roman"/>
              <w:bCs/>
              <w:szCs w:val="28"/>
            </w:rPr>
            <w:t>十二、政府采购支出决算情况说明</w:t>
          </w:r>
          <w:r>
            <w:tab/>
          </w:r>
          <w:r>
            <w:fldChar w:fldCharType="begin"/>
          </w:r>
          <w:r>
            <w:instrText xml:space="preserve"> PAGEREF _Toc14094 \h </w:instrText>
          </w:r>
          <w:r>
            <w:fldChar w:fldCharType="separate"/>
          </w:r>
          <w:r>
            <w:t>11</w:t>
          </w:r>
          <w:r>
            <w:fldChar w:fldCharType="end"/>
          </w:r>
          <w:r>
            <w:fldChar w:fldCharType="end"/>
          </w:r>
        </w:p>
        <w:p w14:paraId="2DC64194">
          <w:pPr>
            <w:pStyle w:val="13"/>
            <w:tabs>
              <w:tab w:val="right" w:leader="dot" w:pos="9026"/>
            </w:tabs>
          </w:pPr>
          <w:r>
            <w:fldChar w:fldCharType="begin"/>
          </w:r>
          <w:r>
            <w:instrText xml:space="preserve"> HYPERLINK \l _Toc20513 </w:instrText>
          </w:r>
          <w:r>
            <w:fldChar w:fldCharType="separate"/>
          </w:r>
          <w:r>
            <w:rPr>
              <w:rFonts w:ascii="Times New Roman" w:hAnsi="Times New Roman" w:eastAsia="黑体" w:cs="Times New Roman"/>
              <w:bCs/>
              <w:szCs w:val="28"/>
            </w:rPr>
            <w:t>十三、国有资产占用情况说明</w:t>
          </w:r>
          <w:r>
            <w:tab/>
          </w:r>
          <w:r>
            <w:fldChar w:fldCharType="begin"/>
          </w:r>
          <w:r>
            <w:instrText xml:space="preserve"> PAGEREF _Toc20513 \h </w:instrText>
          </w:r>
          <w:r>
            <w:fldChar w:fldCharType="separate"/>
          </w:r>
          <w:r>
            <w:t>11</w:t>
          </w:r>
          <w:r>
            <w:fldChar w:fldCharType="end"/>
          </w:r>
          <w:r>
            <w:fldChar w:fldCharType="end"/>
          </w:r>
        </w:p>
        <w:p w14:paraId="58DDDD10">
          <w:pPr>
            <w:pStyle w:val="13"/>
            <w:tabs>
              <w:tab w:val="right" w:leader="dot" w:pos="9026"/>
            </w:tabs>
          </w:pPr>
          <w:r>
            <w:fldChar w:fldCharType="begin"/>
          </w:r>
          <w:r>
            <w:instrText xml:space="preserve"> HYPERLINK \l _Toc27666 </w:instrText>
          </w:r>
          <w:r>
            <w:fldChar w:fldCharType="separate"/>
          </w:r>
          <w:r>
            <w:rPr>
              <w:rFonts w:ascii="Times New Roman" w:hAnsi="Times New Roman" w:eastAsia="黑体" w:cs="Times New Roman"/>
              <w:bCs/>
              <w:szCs w:val="28"/>
            </w:rPr>
            <w:t>十四、预算绩效情况说明</w:t>
          </w:r>
          <w:r>
            <w:tab/>
          </w:r>
          <w:r>
            <w:fldChar w:fldCharType="begin"/>
          </w:r>
          <w:r>
            <w:instrText xml:space="preserve"> PAGEREF _Toc27666 \h </w:instrText>
          </w:r>
          <w:r>
            <w:fldChar w:fldCharType="separate"/>
          </w:r>
          <w:r>
            <w:t>11</w:t>
          </w:r>
          <w:r>
            <w:fldChar w:fldCharType="end"/>
          </w:r>
          <w:r>
            <w:fldChar w:fldCharType="end"/>
          </w:r>
        </w:p>
        <w:p w14:paraId="6F72E0FE">
          <w:pPr>
            <w:pStyle w:val="11"/>
            <w:tabs>
              <w:tab w:val="right" w:leader="dot" w:pos="9026"/>
            </w:tabs>
          </w:pPr>
          <w:r>
            <w:fldChar w:fldCharType="begin"/>
          </w:r>
          <w:r>
            <w:instrText xml:space="preserve"> HYPERLINK \l _Toc6068 </w:instrText>
          </w:r>
          <w:r>
            <w:fldChar w:fldCharType="separate"/>
          </w:r>
          <w:r>
            <w:rPr>
              <w:rFonts w:ascii="Times New Roman" w:hAnsi="Times New Roman" w:eastAsia="黑体" w:cs="Times New Roman"/>
              <w:bCs/>
              <w:szCs w:val="32"/>
            </w:rPr>
            <w:t>第三部分  名词解释</w:t>
          </w:r>
          <w:r>
            <w:tab/>
          </w:r>
          <w:r>
            <w:fldChar w:fldCharType="begin"/>
          </w:r>
          <w:r>
            <w:instrText xml:space="preserve"> PAGEREF _Toc6068 \h </w:instrText>
          </w:r>
          <w:r>
            <w:fldChar w:fldCharType="separate"/>
          </w:r>
          <w:r>
            <w:t>16</w:t>
          </w:r>
          <w:r>
            <w:fldChar w:fldCharType="end"/>
          </w:r>
          <w:r>
            <w:fldChar w:fldCharType="end"/>
          </w:r>
        </w:p>
        <w:p w14:paraId="796D15B4">
          <w:pPr>
            <w:pStyle w:val="11"/>
            <w:tabs>
              <w:tab w:val="right" w:leader="dot" w:pos="9026"/>
            </w:tabs>
          </w:pPr>
          <w:r>
            <w:fldChar w:fldCharType="begin"/>
          </w:r>
          <w:r>
            <w:instrText xml:space="preserve"> HYPERLINK \l _Toc14234 </w:instrText>
          </w:r>
          <w:r>
            <w:fldChar w:fldCharType="separate"/>
          </w:r>
          <w:r>
            <w:rPr>
              <w:rFonts w:ascii="Times New Roman" w:hAnsi="Times New Roman" w:eastAsia="黑体" w:cs="Times New Roman"/>
              <w:bCs/>
              <w:szCs w:val="32"/>
            </w:rPr>
            <w:t>第四部分  决算公开联系方式及信息反馈渠道</w:t>
          </w:r>
          <w:r>
            <w:tab/>
          </w:r>
          <w:r>
            <w:fldChar w:fldCharType="begin"/>
          </w:r>
          <w:r>
            <w:instrText xml:space="preserve"> PAGEREF _Toc14234 \h </w:instrText>
          </w:r>
          <w:r>
            <w:fldChar w:fldCharType="separate"/>
          </w:r>
          <w:r>
            <w:t>17</w:t>
          </w:r>
          <w:r>
            <w:fldChar w:fldCharType="end"/>
          </w:r>
          <w:r>
            <w:fldChar w:fldCharType="end"/>
          </w:r>
        </w:p>
        <w:p w14:paraId="2DB4E28F">
          <w:pPr>
            <w:pStyle w:val="11"/>
            <w:tabs>
              <w:tab w:val="right" w:leader="dot" w:pos="9026"/>
            </w:tabs>
          </w:pPr>
          <w:r>
            <w:fldChar w:fldCharType="begin"/>
          </w:r>
          <w:r>
            <w:instrText xml:space="preserve"> HYPERLINK \l _Toc19444 </w:instrText>
          </w:r>
          <w:r>
            <w:fldChar w:fldCharType="separate"/>
          </w:r>
          <w:r>
            <w:rPr>
              <w:rFonts w:ascii="Times New Roman" w:hAnsi="Times New Roman" w:eastAsia="黑体" w:cs="Times New Roman"/>
              <w:bCs/>
              <w:szCs w:val="32"/>
            </w:rPr>
            <w:t>第五部分  部门（单位）决算表</w:t>
          </w:r>
          <w:r>
            <w:tab/>
          </w:r>
          <w:r>
            <w:fldChar w:fldCharType="begin"/>
          </w:r>
          <w:r>
            <w:instrText xml:space="preserve"> PAGEREF _Toc19444 \h </w:instrText>
          </w:r>
          <w:r>
            <w:fldChar w:fldCharType="separate"/>
          </w:r>
          <w:r>
            <w:t>17</w:t>
          </w:r>
          <w:r>
            <w:fldChar w:fldCharType="end"/>
          </w:r>
          <w:r>
            <w:fldChar w:fldCharType="end"/>
          </w:r>
        </w:p>
        <w:p w14:paraId="30DA4F34">
          <w:r>
            <w:fldChar w:fldCharType="end"/>
          </w:r>
        </w:p>
      </w:sdtContent>
    </w:sdt>
    <w:p w14:paraId="7596931E">
      <w:pPr>
        <w:pageBreakBefore/>
        <w:sectPr>
          <w:footerReference r:id="rId4" w:type="default"/>
          <w:pgSz w:w="11906" w:h="16838"/>
          <w:pgMar w:top="1440" w:right="1440" w:bottom="1440" w:left="1440" w:header="708" w:footer="708" w:gutter="0"/>
          <w:pgNumType w:start="1"/>
          <w:cols w:space="720" w:num="1"/>
          <w:docGrid w:linePitch="360" w:charSpace="0"/>
        </w:sectPr>
      </w:pPr>
    </w:p>
    <w:p w14:paraId="2074E933">
      <w:pPr>
        <w:pageBreakBefore/>
      </w:pPr>
    </w:p>
    <w:p w14:paraId="7E99F670">
      <w:pPr>
        <w:pStyle w:val="2"/>
        <w:spacing w:before="320" w:after="200"/>
        <w:rPr>
          <w:color w:val="auto"/>
        </w:rPr>
      </w:pPr>
      <w:bookmarkStart w:id="0" w:name="_Toc16324"/>
      <w:r>
        <w:rPr>
          <w:rFonts w:ascii="Times New Roman" w:hAnsi="Times New Roman" w:eastAsia="黑体" w:cs="Times New Roman"/>
          <w:b/>
          <w:bCs/>
          <w:color w:val="auto"/>
          <w:sz w:val="32"/>
          <w:szCs w:val="32"/>
        </w:rPr>
        <w:t>第一部分  部门（单位）概况</w:t>
      </w:r>
      <w:bookmarkEnd w:id="0"/>
    </w:p>
    <w:p w14:paraId="588FF281">
      <w:pPr>
        <w:pStyle w:val="3"/>
        <w:spacing w:before="240" w:after="160"/>
        <w:rPr>
          <w:color w:val="auto"/>
        </w:rPr>
      </w:pPr>
      <w:bookmarkStart w:id="1" w:name="_Toc27298"/>
      <w:r>
        <w:rPr>
          <w:rFonts w:ascii="Times New Roman" w:hAnsi="Times New Roman" w:eastAsia="黑体" w:cs="Times New Roman"/>
          <w:b/>
          <w:bCs/>
          <w:color w:val="auto"/>
          <w:sz w:val="28"/>
          <w:szCs w:val="28"/>
        </w:rPr>
        <w:t>一、主要职能、职责</w:t>
      </w:r>
      <w:bookmarkEnd w:id="1"/>
    </w:p>
    <w:p w14:paraId="049BE6BA">
      <w:pPr>
        <w:spacing w:after="120" w:line="360" w:lineRule="auto"/>
        <w:ind w:firstLine="560"/>
        <w:rPr>
          <w:color w:val="auto"/>
        </w:rPr>
      </w:pPr>
      <w:r>
        <w:rPr>
          <w:rFonts w:ascii="Times New Roman" w:hAnsi="Times New Roman" w:eastAsia="仿宋" w:cs="Times New Roman"/>
          <w:color w:val="auto"/>
          <w:sz w:val="28"/>
          <w:szCs w:val="28"/>
        </w:rPr>
        <w:t>人民检察院是国家的法律监督机关。依法对刑事诉讼、民事审判和行政诉讼实行法律监督工作。依法对执行机关执行刑罚的活动是否合法实行监督。对法院已经发生法律效力、确有错误的判决和裁定依法提请抗诉。全面贯彻落实习近平新时代中国特色社会主义思想和考察内蒙古重要讲话精神，紧紧围绕区、盟两级检察工作会议和全市政法会议精神，立足全市经济社会发展大局，以执法办案为中心，顺应人民群众对新时期检察工作的新期待，忠实履行检察职能，为保持经济社会平稳较快发展和确保社会大局稳定提供坚实司法保障。</w:t>
      </w:r>
    </w:p>
    <w:p w14:paraId="5B70096B">
      <w:pPr>
        <w:pStyle w:val="3"/>
        <w:spacing w:before="240" w:after="160"/>
        <w:rPr>
          <w:color w:val="auto"/>
        </w:rPr>
      </w:pPr>
      <w:bookmarkStart w:id="2" w:name="_Toc29100"/>
      <w:r>
        <w:rPr>
          <w:rFonts w:ascii="Times New Roman" w:hAnsi="Times New Roman" w:eastAsia="黑体" w:cs="Times New Roman"/>
          <w:b/>
          <w:bCs/>
          <w:color w:val="auto"/>
          <w:sz w:val="28"/>
          <w:szCs w:val="28"/>
        </w:rPr>
        <w:t>二、部门（单位）机构设置及决算单位构成情况</w:t>
      </w:r>
      <w:bookmarkEnd w:id="2"/>
    </w:p>
    <w:p w14:paraId="7AD1E55C">
      <w:pPr>
        <w:spacing w:after="120" w:line="360" w:lineRule="auto"/>
        <w:ind w:firstLine="560"/>
        <w:rPr>
          <w:color w:val="auto"/>
        </w:rPr>
      </w:pPr>
      <w:r>
        <w:rPr>
          <w:rFonts w:ascii="Times New Roman" w:hAnsi="Times New Roman" w:eastAsia="仿宋" w:cs="Times New Roman"/>
          <w:color w:val="auto"/>
          <w:sz w:val="28"/>
          <w:szCs w:val="28"/>
        </w:rPr>
        <w:t>1.根据部门（单位）职责分工，本部门（单位）内设机构包括8个部门，分别是：第一至第五检察部、综合业务部、办公室、政治部。本部门（单位）无所属单位。</w:t>
      </w:r>
    </w:p>
    <w:p w14:paraId="75042838">
      <w:pPr>
        <w:spacing w:after="120" w:line="360" w:lineRule="auto"/>
        <w:ind w:firstLine="560"/>
        <w:rPr>
          <w:color w:val="auto"/>
        </w:rPr>
      </w:pPr>
      <w:r>
        <w:rPr>
          <w:rFonts w:ascii="Times New Roman" w:hAnsi="Times New Roman" w:eastAsia="仿宋" w:cs="Times New Roman"/>
          <w:color w:val="auto"/>
          <w:sz w:val="28"/>
          <w:szCs w:val="28"/>
        </w:rPr>
        <w:t>2.从决算单位构成看，纳入本部门（单位）决算编制范围的预算单位共计1家，具体包括：锡林浩特市人民检察院部门本级。详细情况见表：</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441"/>
        <w:gridCol w:w="4736"/>
        <w:gridCol w:w="3089"/>
      </w:tblGrid>
      <w:tr w14:paraId="5DF85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400" w:type="dxa"/>
            <w:shd w:val="clear" w:color="auto" w:fill="EEF3F6"/>
            <w:tcMar>
              <w:top w:w="100" w:type="dxa"/>
              <w:left w:w="120" w:type="dxa"/>
              <w:bottom w:w="100" w:type="dxa"/>
              <w:right w:w="120" w:type="dxa"/>
            </w:tcMar>
          </w:tcPr>
          <w:p w14:paraId="40DD96D3">
            <w:pPr>
              <w:spacing w:after="0" w:line="300" w:lineRule="auto"/>
              <w:jc w:val="center"/>
              <w:rPr>
                <w:color w:val="auto"/>
              </w:rPr>
            </w:pPr>
            <w:r>
              <w:rPr>
                <w:rFonts w:ascii="Times New Roman" w:hAnsi="Times New Roman" w:eastAsia="仿宋" w:cs="Times New Roman"/>
                <w:color w:val="auto"/>
                <w:sz w:val="24"/>
                <w:szCs w:val="24"/>
              </w:rPr>
              <w:t>序号</w:t>
            </w:r>
          </w:p>
        </w:tc>
        <w:tc>
          <w:tcPr>
            <w:tcW w:w="4600" w:type="dxa"/>
            <w:shd w:val="clear" w:color="auto" w:fill="EEF3F6"/>
            <w:tcMar>
              <w:top w:w="100" w:type="dxa"/>
              <w:left w:w="120" w:type="dxa"/>
              <w:bottom w:w="100" w:type="dxa"/>
              <w:right w:w="120" w:type="dxa"/>
            </w:tcMar>
          </w:tcPr>
          <w:p w14:paraId="0AE513A2">
            <w:pPr>
              <w:spacing w:after="0" w:line="300" w:lineRule="auto"/>
              <w:jc w:val="center"/>
              <w:rPr>
                <w:color w:val="auto"/>
              </w:rPr>
            </w:pPr>
            <w:r>
              <w:rPr>
                <w:rFonts w:ascii="Times New Roman" w:hAnsi="Times New Roman" w:eastAsia="仿宋" w:cs="Times New Roman"/>
                <w:color w:val="auto"/>
                <w:sz w:val="24"/>
                <w:szCs w:val="24"/>
              </w:rPr>
              <w:t>单位名称</w:t>
            </w:r>
          </w:p>
        </w:tc>
        <w:tc>
          <w:tcPr>
            <w:tcW w:w="3000" w:type="dxa"/>
            <w:shd w:val="clear" w:color="auto" w:fill="EEF3F6"/>
            <w:tcMar>
              <w:top w:w="100" w:type="dxa"/>
              <w:left w:w="120" w:type="dxa"/>
              <w:bottom w:w="100" w:type="dxa"/>
              <w:right w:w="120" w:type="dxa"/>
            </w:tcMar>
          </w:tcPr>
          <w:p w14:paraId="3CD61F33">
            <w:pPr>
              <w:spacing w:after="0" w:line="300" w:lineRule="auto"/>
              <w:jc w:val="center"/>
              <w:rPr>
                <w:color w:val="auto"/>
              </w:rPr>
            </w:pPr>
            <w:r>
              <w:rPr>
                <w:rFonts w:ascii="Times New Roman" w:hAnsi="Times New Roman" w:eastAsia="仿宋" w:cs="Times New Roman"/>
                <w:color w:val="auto"/>
                <w:sz w:val="24"/>
                <w:szCs w:val="24"/>
              </w:rPr>
              <w:t>单位性质</w:t>
            </w:r>
          </w:p>
        </w:tc>
      </w:tr>
      <w:tr w14:paraId="0C864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00" w:type="dxa"/>
            <w:tcMar>
              <w:top w:w="100" w:type="dxa"/>
              <w:left w:w="120" w:type="dxa"/>
              <w:bottom w:w="100" w:type="dxa"/>
              <w:right w:w="120" w:type="dxa"/>
            </w:tcMar>
          </w:tcPr>
          <w:p w14:paraId="2D209E35">
            <w:pPr>
              <w:spacing w:after="0" w:line="300" w:lineRule="auto"/>
              <w:jc w:val="center"/>
              <w:rPr>
                <w:color w:val="auto"/>
              </w:rPr>
            </w:pPr>
            <w:r>
              <w:rPr>
                <w:rFonts w:ascii="Times New Roman" w:hAnsi="Times New Roman" w:eastAsia="仿宋" w:cs="Times New Roman"/>
                <w:color w:val="auto"/>
                <w:sz w:val="24"/>
                <w:szCs w:val="24"/>
              </w:rPr>
              <w:t>1</w:t>
            </w:r>
          </w:p>
        </w:tc>
        <w:tc>
          <w:tcPr>
            <w:tcW w:w="4600" w:type="dxa"/>
            <w:tcMar>
              <w:top w:w="100" w:type="dxa"/>
              <w:left w:w="120" w:type="dxa"/>
              <w:bottom w:w="100" w:type="dxa"/>
              <w:right w:w="120" w:type="dxa"/>
            </w:tcMar>
          </w:tcPr>
          <w:p w14:paraId="0BB63EF5">
            <w:pPr>
              <w:spacing w:after="0" w:line="300" w:lineRule="auto"/>
              <w:jc w:val="center"/>
              <w:rPr>
                <w:color w:val="auto"/>
              </w:rPr>
            </w:pPr>
            <w:r>
              <w:rPr>
                <w:rFonts w:ascii="Times New Roman" w:hAnsi="Times New Roman" w:eastAsia="仿宋" w:cs="Times New Roman"/>
                <w:color w:val="auto"/>
                <w:sz w:val="24"/>
                <w:szCs w:val="24"/>
              </w:rPr>
              <w:t>锡林浩特市人民检察院（部门本级）</w:t>
            </w:r>
          </w:p>
        </w:tc>
        <w:tc>
          <w:tcPr>
            <w:tcW w:w="3000" w:type="dxa"/>
            <w:tcMar>
              <w:top w:w="100" w:type="dxa"/>
              <w:left w:w="120" w:type="dxa"/>
              <w:bottom w:w="100" w:type="dxa"/>
              <w:right w:w="120" w:type="dxa"/>
            </w:tcMar>
          </w:tcPr>
          <w:p w14:paraId="7F46389C">
            <w:pPr>
              <w:spacing w:after="0" w:line="300" w:lineRule="auto"/>
              <w:jc w:val="center"/>
              <w:rPr>
                <w:color w:val="auto"/>
              </w:rPr>
            </w:pPr>
            <w:r>
              <w:rPr>
                <w:rFonts w:ascii="Times New Roman" w:hAnsi="Times New Roman" w:eastAsia="仿宋" w:cs="Times New Roman"/>
                <w:color w:val="auto"/>
                <w:sz w:val="24"/>
                <w:szCs w:val="24"/>
              </w:rPr>
              <w:t>行政单位</w:t>
            </w:r>
          </w:p>
        </w:tc>
      </w:tr>
    </w:tbl>
    <w:p w14:paraId="44B3CF1A">
      <w:pPr>
        <w:spacing w:after="120"/>
        <w:rPr>
          <w:color w:val="auto"/>
        </w:rPr>
      </w:pPr>
    </w:p>
    <w:p w14:paraId="0F128FF7">
      <w:pPr>
        <w:pStyle w:val="3"/>
        <w:spacing w:before="240" w:after="160"/>
        <w:rPr>
          <w:color w:val="auto"/>
        </w:rPr>
      </w:pPr>
      <w:bookmarkStart w:id="3" w:name="_Toc11916"/>
      <w:r>
        <w:rPr>
          <w:rFonts w:ascii="Times New Roman" w:hAnsi="Times New Roman" w:eastAsia="黑体" w:cs="Times New Roman"/>
          <w:b/>
          <w:bCs/>
          <w:color w:val="auto"/>
          <w:sz w:val="28"/>
          <w:szCs w:val="28"/>
        </w:rPr>
        <w:t>三、2025年度部门（单位）主要工作完成情况</w:t>
      </w:r>
      <w:bookmarkEnd w:id="3"/>
    </w:p>
    <w:p w14:paraId="18021422">
      <w:pPr>
        <w:spacing w:after="120" w:line="360" w:lineRule="auto"/>
        <w:ind w:firstLine="560"/>
        <w:rPr>
          <w:rFonts w:ascii="Times New Roman" w:hAnsi="Times New Roman" w:eastAsia="仿宋" w:cs="Times New Roman"/>
          <w:color w:val="auto"/>
          <w:sz w:val="28"/>
          <w:szCs w:val="28"/>
        </w:rPr>
      </w:pPr>
      <w:r>
        <w:rPr>
          <w:rFonts w:ascii="Times New Roman" w:hAnsi="Times New Roman" w:eastAsia="仿宋" w:cs="Times New Roman"/>
          <w:color w:val="auto"/>
          <w:sz w:val="28"/>
          <w:szCs w:val="28"/>
        </w:rPr>
        <w:t>2025年，锡林浩特市人民检察院坚持以习近平新时代中国特色社会主义思想为指导，全面贯彻习近平法治思想，依法全面履行法律监督职能，各项检察工作取得新进展。</w:t>
      </w:r>
    </w:p>
    <w:p w14:paraId="4D1D05C4">
      <w:pPr>
        <w:spacing w:after="120" w:line="360" w:lineRule="auto"/>
        <w:ind w:firstLine="560"/>
        <w:rPr>
          <w:color w:val="auto"/>
        </w:rPr>
      </w:pPr>
      <w:r>
        <w:rPr>
          <w:rFonts w:ascii="Times New Roman" w:hAnsi="Times New Roman" w:eastAsia="仿宋" w:cs="Times New Roman"/>
          <w:color w:val="auto"/>
          <w:sz w:val="28"/>
          <w:szCs w:val="28"/>
        </w:rPr>
        <w:t>全力维护区域安全稳定。受理审查逮捕案件153件207人，批准逮捕115件155人；受理审查起诉案件295件372人，提起公诉248件301人。常态化开展扫黑除恶斗争，办理徐胜利等人涉恶案件；加大对电信网络诈骗犯罪的打击力度，批捕16件、起诉13件；精准打击治理农村赌博和跨境赌博犯罪，助力平安锡市建设，切实增强人民群众安全感。</w:t>
      </w:r>
    </w:p>
    <w:p w14:paraId="282958C3">
      <w:pPr>
        <w:spacing w:after="120" w:line="360" w:lineRule="auto"/>
        <w:ind w:firstLine="560"/>
        <w:rPr>
          <w:color w:val="auto"/>
        </w:rPr>
      </w:pPr>
      <w:r>
        <w:rPr>
          <w:rFonts w:ascii="Times New Roman" w:hAnsi="Times New Roman" w:eastAsia="仿宋" w:cs="Times New Roman"/>
          <w:color w:val="auto"/>
          <w:sz w:val="28"/>
          <w:szCs w:val="28"/>
        </w:rPr>
        <w:t>加强未成年人综合司法保护。坚持“零容忍”依法惩治侵害未成年人犯罪，批捕15件26人，起诉14件15人，追诉漏犯1人；坚持“宽容不纵容”，依法批捕未成年犯罪嫌疑人5件13人、起诉4件5人；常态化推进法治进校园工作，深入中小学开展普法宣传活动8次，覆盖1210人。</w:t>
      </w:r>
    </w:p>
    <w:p w14:paraId="22138522">
      <w:pPr>
        <w:spacing w:after="120" w:line="360" w:lineRule="auto"/>
        <w:ind w:firstLine="560"/>
        <w:rPr>
          <w:color w:val="auto"/>
        </w:rPr>
      </w:pPr>
      <w:r>
        <w:rPr>
          <w:rFonts w:ascii="Times New Roman" w:hAnsi="Times New Roman" w:eastAsia="仿宋" w:cs="Times New Roman"/>
          <w:color w:val="auto"/>
          <w:sz w:val="28"/>
          <w:szCs w:val="28"/>
        </w:rPr>
        <w:t>刑事检察更加稳健。强化刑事诉讼监督，监督公安机关立案3件、撤案3件，提出抗诉1件，制发纠正违法通知书、侦查活动监督通知书等26份，采纳率100%；强化刑事执行检察，坚持对社区矫正刑罚执行开展全覆盖检察，保障监管场所安全稳定和在押人员合法权益。</w:t>
      </w:r>
    </w:p>
    <w:p w14:paraId="199D8055">
      <w:pPr>
        <w:spacing w:after="120" w:line="360" w:lineRule="auto"/>
        <w:ind w:firstLine="560"/>
        <w:rPr>
          <w:color w:val="auto"/>
        </w:rPr>
      </w:pPr>
      <w:r>
        <w:rPr>
          <w:rFonts w:ascii="Times New Roman" w:hAnsi="Times New Roman" w:eastAsia="仿宋" w:cs="Times New Roman"/>
          <w:color w:val="auto"/>
          <w:sz w:val="28"/>
          <w:szCs w:val="28"/>
        </w:rPr>
        <w:t>民事检察更显温度。受理民事检察监督案件20件，运用“支持起诉+检察和解”的办案模式，为9名农牧民工依法追索劳动报酬9万余元；办理的一件民间借贷纠纷检察监督案，提出再审检察建议，再审后获改判，为当事人挽回经济损失23万余元。</w:t>
      </w:r>
    </w:p>
    <w:p w14:paraId="309B5249">
      <w:pPr>
        <w:spacing w:after="120" w:line="360" w:lineRule="auto"/>
        <w:ind w:firstLine="560"/>
        <w:rPr>
          <w:color w:val="auto"/>
        </w:rPr>
      </w:pPr>
      <w:r>
        <w:rPr>
          <w:rFonts w:ascii="Times New Roman" w:hAnsi="Times New Roman" w:eastAsia="仿宋" w:cs="Times New Roman"/>
          <w:color w:val="auto"/>
          <w:sz w:val="28"/>
          <w:szCs w:val="28"/>
        </w:rPr>
        <w:t>行政检察更加有力。受理行政检察监督案件35件，办理行刑反向衔接案件33件，向行政机关发出检察意见书11份，加强行政检察与行政执法监督衔接工作。</w:t>
      </w:r>
    </w:p>
    <w:p w14:paraId="1B62CB43">
      <w:pPr>
        <w:spacing w:after="120" w:line="360" w:lineRule="auto"/>
        <w:ind w:firstLine="560"/>
        <w:rPr>
          <w:color w:val="auto"/>
        </w:rPr>
      </w:pPr>
      <w:r>
        <w:rPr>
          <w:rFonts w:ascii="Times New Roman" w:hAnsi="Times New Roman" w:eastAsia="仿宋" w:cs="Times New Roman"/>
          <w:color w:val="auto"/>
          <w:sz w:val="28"/>
          <w:szCs w:val="28"/>
        </w:rPr>
        <w:t>公益诉讼检察更重实效。牢记“公共利益代表”职责，办理行政、民事公益诉讼案件29件，其中行政公益诉讼立案17件、制发检察建议17件；开展禁牧休牧和草蓄平衡专项监督活动，立案并制发检察建议6件，推动生态环境、食品药品、安全生产等多个领域开展全域治理。</w:t>
      </w:r>
    </w:p>
    <w:p w14:paraId="53CA3113">
      <w:pPr>
        <w:pStyle w:val="2"/>
        <w:spacing w:before="320" w:after="200"/>
        <w:rPr>
          <w:color w:val="auto"/>
        </w:rPr>
      </w:pPr>
      <w:bookmarkStart w:id="4" w:name="_Toc1822"/>
      <w:r>
        <w:rPr>
          <w:rFonts w:ascii="Times New Roman" w:hAnsi="Times New Roman" w:eastAsia="黑体" w:cs="Times New Roman"/>
          <w:b/>
          <w:bCs/>
          <w:color w:val="auto"/>
          <w:sz w:val="32"/>
          <w:szCs w:val="32"/>
        </w:rPr>
        <w:t>第二部分  部门（单位）决算情况说明</w:t>
      </w:r>
      <w:bookmarkEnd w:id="4"/>
    </w:p>
    <w:p w14:paraId="5F237B53">
      <w:pPr>
        <w:pStyle w:val="3"/>
        <w:spacing w:before="240" w:after="160"/>
        <w:rPr>
          <w:color w:val="auto"/>
        </w:rPr>
      </w:pPr>
      <w:bookmarkStart w:id="5" w:name="_Toc70"/>
      <w:r>
        <w:rPr>
          <w:rFonts w:ascii="Times New Roman" w:hAnsi="Times New Roman" w:eastAsia="黑体" w:cs="Times New Roman"/>
          <w:b/>
          <w:bCs/>
          <w:color w:val="auto"/>
          <w:sz w:val="28"/>
          <w:szCs w:val="28"/>
        </w:rPr>
        <w:t>一、收入支出决算总体情况说明</w:t>
      </w:r>
      <w:bookmarkEnd w:id="5"/>
    </w:p>
    <w:p w14:paraId="3CD0B7C2">
      <w:pPr>
        <w:spacing w:after="120" w:line="360" w:lineRule="auto"/>
        <w:ind w:firstLine="560"/>
        <w:rPr>
          <w:color w:val="auto"/>
        </w:rPr>
      </w:pPr>
      <w:r>
        <w:rPr>
          <w:rFonts w:ascii="Times New Roman" w:hAnsi="Times New Roman" w:eastAsia="仿宋" w:cs="Times New Roman"/>
          <w:color w:val="auto"/>
          <w:sz w:val="28"/>
          <w:szCs w:val="28"/>
        </w:rPr>
        <w:t>锡林浩特市人民检察院2025年度收入、支出决算总计均为1908.97万元。与年初预算相比，收、支总计各增加131.00万元，增长7.37%，变动原因：自治区财政年初预算口径中不包括地方财政代编的部分，决算口径中全部包括，因此决算比预算增加较多；与上年决算相比，收、支总计各增加57.59万元，增长3.11%。其中：</w:t>
      </w:r>
    </w:p>
    <w:p w14:paraId="206F0658">
      <w:pPr>
        <w:pStyle w:val="4"/>
        <w:spacing w:before="160" w:after="120"/>
        <w:ind w:firstLine="560"/>
        <w:rPr>
          <w:color w:val="auto"/>
        </w:rPr>
      </w:pPr>
      <w:r>
        <w:rPr>
          <w:rFonts w:ascii="Times New Roman" w:hAnsi="Times New Roman" w:eastAsia="仿宋" w:cs="Times New Roman"/>
          <w:b/>
          <w:bCs/>
          <w:color w:val="auto"/>
          <w:sz w:val="28"/>
          <w:szCs w:val="28"/>
        </w:rPr>
        <w:t>（一）收入决算总计1908.97万元。包括：</w:t>
      </w:r>
    </w:p>
    <w:p w14:paraId="533D749C">
      <w:pPr>
        <w:spacing w:after="120" w:line="360" w:lineRule="auto"/>
        <w:ind w:firstLine="560"/>
        <w:rPr>
          <w:color w:val="auto"/>
        </w:rPr>
      </w:pPr>
      <w:r>
        <w:rPr>
          <w:rFonts w:ascii="Times New Roman" w:hAnsi="Times New Roman" w:eastAsia="仿宋" w:cs="Times New Roman"/>
          <w:color w:val="auto"/>
          <w:sz w:val="28"/>
          <w:szCs w:val="28"/>
        </w:rPr>
        <w:t>1.本年收入决算合计1908.97万元。与上年决算相比，增加57.59万元，增长3.11%，变动原因：本年度人员经费按政策正常调整增加，同时新增国家赔偿费用、引进人才费用等专项支出，死亡抚恤金较上年增加。</w:t>
      </w:r>
    </w:p>
    <w:p w14:paraId="77C1009C">
      <w:pPr>
        <w:spacing w:after="120" w:line="360" w:lineRule="auto"/>
        <w:ind w:firstLine="560"/>
        <w:rPr>
          <w:color w:val="auto"/>
        </w:rPr>
      </w:pPr>
      <w:r>
        <w:rPr>
          <w:rFonts w:ascii="Times New Roman" w:hAnsi="Times New Roman" w:eastAsia="仿宋" w:cs="Times New Roman"/>
          <w:color w:val="auto"/>
          <w:sz w:val="28"/>
          <w:szCs w:val="28"/>
        </w:rPr>
        <w:t>2.使用非财政拨款结余（含专用结余）0万元。与上年决算相比，增加0万元，增长0%，变动原因：不存在此项内容。</w:t>
      </w:r>
    </w:p>
    <w:p w14:paraId="65D0C9A9">
      <w:pPr>
        <w:spacing w:after="120" w:line="360" w:lineRule="auto"/>
        <w:ind w:firstLine="560"/>
        <w:rPr>
          <w:color w:val="auto"/>
        </w:rPr>
      </w:pPr>
      <w:r>
        <w:rPr>
          <w:rFonts w:ascii="Times New Roman" w:hAnsi="Times New Roman" w:eastAsia="仿宋" w:cs="Times New Roman"/>
          <w:color w:val="auto"/>
          <w:sz w:val="28"/>
          <w:szCs w:val="28"/>
        </w:rPr>
        <w:t>3.年初结转和结余0万元。与上年决算相比，增加0万元，增长0%，变动原因：不存在此项内容。</w:t>
      </w:r>
    </w:p>
    <w:p w14:paraId="789D3D4C">
      <w:pPr>
        <w:pStyle w:val="4"/>
        <w:spacing w:before="160" w:after="120"/>
        <w:ind w:firstLine="560"/>
        <w:rPr>
          <w:color w:val="auto"/>
        </w:rPr>
      </w:pPr>
      <w:r>
        <w:rPr>
          <w:rFonts w:ascii="Times New Roman" w:hAnsi="Times New Roman" w:eastAsia="仿宋" w:cs="Times New Roman"/>
          <w:b/>
          <w:bCs/>
          <w:color w:val="auto"/>
          <w:sz w:val="28"/>
          <w:szCs w:val="28"/>
        </w:rPr>
        <w:t>（二）支出决算总计1908.97万元。包括：</w:t>
      </w:r>
    </w:p>
    <w:p w14:paraId="734B2BED">
      <w:pPr>
        <w:spacing w:after="120" w:line="360" w:lineRule="auto"/>
        <w:ind w:firstLine="560"/>
        <w:rPr>
          <w:color w:val="auto"/>
        </w:rPr>
      </w:pPr>
      <w:r>
        <w:rPr>
          <w:rFonts w:ascii="Times New Roman" w:hAnsi="Times New Roman" w:eastAsia="仿宋" w:cs="Times New Roman"/>
          <w:color w:val="auto"/>
          <w:sz w:val="28"/>
          <w:szCs w:val="28"/>
        </w:rPr>
        <w:t>1.本年支出决算合计1908.97万元。与上年决算相比，增加57.59万元，增长3.11%，变动原因：本年度人员经费按政策正常调整增加，同时新增国家赔偿费用、引进人才费用等专项支出，死亡抚恤金较上年增加。</w:t>
      </w:r>
    </w:p>
    <w:p w14:paraId="44D49A11">
      <w:pPr>
        <w:spacing w:after="120" w:line="360" w:lineRule="auto"/>
        <w:ind w:firstLine="560"/>
        <w:rPr>
          <w:color w:val="auto"/>
        </w:rPr>
      </w:pPr>
      <w:r>
        <w:rPr>
          <w:rFonts w:ascii="Times New Roman" w:hAnsi="Times New Roman" w:eastAsia="仿宋" w:cs="Times New Roman"/>
          <w:color w:val="auto"/>
          <w:sz w:val="28"/>
          <w:szCs w:val="28"/>
        </w:rPr>
        <w:t>2.结余分配0万元。与上年决算相比，增加0万元，增长0%，变动原因：不存在此项内容。</w:t>
      </w:r>
    </w:p>
    <w:p w14:paraId="466182DD">
      <w:pPr>
        <w:spacing w:after="120" w:line="360" w:lineRule="auto"/>
        <w:ind w:firstLine="560"/>
        <w:rPr>
          <w:color w:val="auto"/>
        </w:rPr>
      </w:pPr>
      <w:r>
        <w:rPr>
          <w:rFonts w:ascii="Times New Roman" w:hAnsi="Times New Roman" w:eastAsia="仿宋" w:cs="Times New Roman"/>
          <w:color w:val="auto"/>
          <w:sz w:val="28"/>
          <w:szCs w:val="28"/>
        </w:rPr>
        <w:t>3.年末结转和结余0万元。与上年决算相比，增加0万元，增长0%，变动原因：不存在此项内容。</w:t>
      </w:r>
    </w:p>
    <w:p w14:paraId="5F6F7D1B">
      <w:pPr>
        <w:pStyle w:val="3"/>
        <w:spacing w:before="240" w:after="160"/>
        <w:rPr>
          <w:color w:val="auto"/>
        </w:rPr>
      </w:pPr>
      <w:bookmarkStart w:id="6" w:name="_Toc15082"/>
      <w:r>
        <w:rPr>
          <w:rFonts w:ascii="Times New Roman" w:hAnsi="Times New Roman" w:eastAsia="黑体" w:cs="Times New Roman"/>
          <w:b/>
          <w:bCs/>
          <w:color w:val="auto"/>
          <w:sz w:val="28"/>
          <w:szCs w:val="28"/>
        </w:rPr>
        <w:t>二、收入决算情况说明</w:t>
      </w:r>
      <w:bookmarkEnd w:id="6"/>
    </w:p>
    <w:p w14:paraId="41BB3B49">
      <w:pPr>
        <w:spacing w:after="120" w:line="360" w:lineRule="auto"/>
        <w:ind w:firstLine="560"/>
        <w:rPr>
          <w:color w:val="auto"/>
        </w:rPr>
      </w:pPr>
      <w:r>
        <w:rPr>
          <w:rFonts w:ascii="Times New Roman" w:hAnsi="Times New Roman" w:eastAsia="仿宋" w:cs="Times New Roman"/>
          <w:color w:val="auto"/>
          <w:sz w:val="28"/>
          <w:szCs w:val="28"/>
        </w:rPr>
        <w:t>锡林浩特市人民检察院2025年度本年收入决算合计1908.97万元，其中：</w:t>
      </w:r>
    </w:p>
    <w:p w14:paraId="74157550">
      <w:pPr>
        <w:spacing w:after="120" w:line="360" w:lineRule="auto"/>
        <w:ind w:firstLine="560"/>
        <w:rPr>
          <w:color w:val="auto"/>
        </w:rPr>
      </w:pPr>
      <w:r>
        <w:rPr>
          <w:rFonts w:ascii="Times New Roman" w:hAnsi="Times New Roman" w:eastAsia="仿宋" w:cs="Times New Roman"/>
          <w:color w:val="auto"/>
          <w:sz w:val="28"/>
          <w:szCs w:val="28"/>
        </w:rPr>
        <w:t>一般公共预算财政拨款收入1810.67万元，占94.85%；</w:t>
      </w:r>
    </w:p>
    <w:p w14:paraId="0F4BC80D">
      <w:pPr>
        <w:spacing w:after="120" w:line="360" w:lineRule="auto"/>
        <w:ind w:firstLine="560"/>
        <w:rPr>
          <w:color w:val="auto"/>
        </w:rPr>
      </w:pPr>
      <w:r>
        <w:rPr>
          <w:rFonts w:ascii="Times New Roman" w:hAnsi="Times New Roman" w:eastAsia="仿宋" w:cs="Times New Roman"/>
          <w:color w:val="auto"/>
          <w:sz w:val="28"/>
          <w:szCs w:val="28"/>
        </w:rPr>
        <w:t>政府性基金预算财政拨款收入0万元，占0%；</w:t>
      </w:r>
    </w:p>
    <w:p w14:paraId="3D78A592">
      <w:pPr>
        <w:spacing w:after="120" w:line="360" w:lineRule="auto"/>
        <w:ind w:firstLine="560"/>
        <w:rPr>
          <w:color w:val="auto"/>
        </w:rPr>
      </w:pPr>
      <w:r>
        <w:rPr>
          <w:rFonts w:ascii="Times New Roman" w:hAnsi="Times New Roman" w:eastAsia="仿宋" w:cs="Times New Roman"/>
          <w:color w:val="auto"/>
          <w:sz w:val="28"/>
          <w:szCs w:val="28"/>
        </w:rPr>
        <w:t>国有资本经营预算财政拨款收入0万元，占0%；</w:t>
      </w:r>
    </w:p>
    <w:p w14:paraId="4378C9AE">
      <w:pPr>
        <w:spacing w:after="120" w:line="360" w:lineRule="auto"/>
        <w:ind w:firstLine="560"/>
        <w:rPr>
          <w:color w:val="auto"/>
        </w:rPr>
      </w:pPr>
      <w:r>
        <w:rPr>
          <w:rFonts w:ascii="Times New Roman" w:hAnsi="Times New Roman" w:eastAsia="仿宋" w:cs="Times New Roman"/>
          <w:color w:val="auto"/>
          <w:sz w:val="28"/>
          <w:szCs w:val="28"/>
        </w:rPr>
        <w:t>上级补助收入0万元，占0%；</w:t>
      </w:r>
    </w:p>
    <w:p w14:paraId="7EB07F91">
      <w:pPr>
        <w:spacing w:after="120" w:line="360" w:lineRule="auto"/>
        <w:ind w:firstLine="560"/>
        <w:rPr>
          <w:color w:val="auto"/>
        </w:rPr>
      </w:pPr>
      <w:r>
        <w:rPr>
          <w:rFonts w:ascii="Times New Roman" w:hAnsi="Times New Roman" w:eastAsia="仿宋" w:cs="Times New Roman"/>
          <w:color w:val="auto"/>
          <w:sz w:val="28"/>
          <w:szCs w:val="28"/>
        </w:rPr>
        <w:t>事业收入0万元，占0%；</w:t>
      </w:r>
    </w:p>
    <w:p w14:paraId="0839D2D5">
      <w:pPr>
        <w:spacing w:after="120" w:line="360" w:lineRule="auto"/>
        <w:ind w:firstLine="560"/>
        <w:rPr>
          <w:color w:val="auto"/>
        </w:rPr>
      </w:pPr>
      <w:r>
        <w:rPr>
          <w:rFonts w:ascii="Times New Roman" w:hAnsi="Times New Roman" w:eastAsia="仿宋" w:cs="Times New Roman"/>
          <w:color w:val="auto"/>
          <w:sz w:val="28"/>
          <w:szCs w:val="28"/>
        </w:rPr>
        <w:t>经营收入0万元，占0%；</w:t>
      </w:r>
    </w:p>
    <w:p w14:paraId="7A2D2A91">
      <w:pPr>
        <w:spacing w:after="120" w:line="360" w:lineRule="auto"/>
        <w:ind w:firstLine="560"/>
        <w:rPr>
          <w:color w:val="auto"/>
        </w:rPr>
      </w:pPr>
      <w:r>
        <w:rPr>
          <w:rFonts w:ascii="Times New Roman" w:hAnsi="Times New Roman" w:eastAsia="仿宋" w:cs="Times New Roman"/>
          <w:color w:val="auto"/>
          <w:sz w:val="28"/>
          <w:szCs w:val="28"/>
        </w:rPr>
        <w:t>附属单位上缴收入0万元，占0%；</w:t>
      </w:r>
    </w:p>
    <w:p w14:paraId="6CFD4BCD">
      <w:pPr>
        <w:spacing w:after="120" w:line="360" w:lineRule="auto"/>
        <w:ind w:firstLine="560"/>
        <w:rPr>
          <w:color w:val="auto"/>
        </w:rPr>
      </w:pPr>
      <w:r>
        <w:rPr>
          <w:rFonts w:ascii="Times New Roman" w:hAnsi="Times New Roman" w:eastAsia="仿宋" w:cs="Times New Roman"/>
          <w:color w:val="auto"/>
          <w:sz w:val="28"/>
          <w:szCs w:val="28"/>
        </w:rPr>
        <w:t>其他收入98.30万元，占5.15%。</w:t>
      </w:r>
    </w:p>
    <w:p w14:paraId="0866D394">
      <w:pPr>
        <w:spacing w:before="120" w:after="60"/>
        <w:jc w:val="center"/>
        <w:rPr>
          <w:color w:val="auto"/>
        </w:rPr>
      </w:pPr>
      <w:r>
        <w:rPr>
          <w:color w:val="auto"/>
        </w:rPr>
        <w:drawing>
          <wp:inline distT="0" distB="0" distL="0" distR="0">
            <wp:extent cx="4000500" cy="360997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
                    <a:srcRect/>
                    <a:stretch>
                      <a:fillRect/>
                    </a:stretch>
                  </pic:blipFill>
                  <pic:spPr>
                    <a:xfrm>
                      <a:off x="0" y="0"/>
                      <a:ext cx="4000500" cy="3609975"/>
                    </a:xfrm>
                    <a:prstGeom prst="rect">
                      <a:avLst/>
                    </a:prstGeom>
                  </pic:spPr>
                </pic:pic>
              </a:graphicData>
            </a:graphic>
          </wp:inline>
        </w:drawing>
      </w:r>
    </w:p>
    <w:p w14:paraId="62EDBD7C">
      <w:pPr>
        <w:spacing w:before="60" w:after="200"/>
        <w:jc w:val="center"/>
        <w:rPr>
          <w:color w:val="auto"/>
        </w:rPr>
      </w:pPr>
      <w:r>
        <w:rPr>
          <w:rFonts w:ascii="Times New Roman" w:hAnsi="Times New Roman" w:eastAsia="仿宋" w:cs="Times New Roman"/>
          <w:b/>
          <w:bCs/>
          <w:color w:val="auto"/>
          <w:sz w:val="24"/>
          <w:szCs w:val="24"/>
        </w:rPr>
        <w:t>图1.收入决算图</w:t>
      </w:r>
    </w:p>
    <w:p w14:paraId="5E17CAEB">
      <w:pPr>
        <w:pStyle w:val="3"/>
        <w:spacing w:before="240" w:after="160"/>
        <w:rPr>
          <w:color w:val="auto"/>
        </w:rPr>
      </w:pPr>
      <w:bookmarkStart w:id="7" w:name="_Toc19609"/>
      <w:r>
        <w:rPr>
          <w:rFonts w:ascii="Times New Roman" w:hAnsi="Times New Roman" w:eastAsia="黑体" w:cs="Times New Roman"/>
          <w:b/>
          <w:bCs/>
          <w:color w:val="auto"/>
          <w:sz w:val="28"/>
          <w:szCs w:val="28"/>
        </w:rPr>
        <w:t>三、支出决算情况说明</w:t>
      </w:r>
      <w:bookmarkEnd w:id="7"/>
    </w:p>
    <w:p w14:paraId="1383259E">
      <w:pPr>
        <w:spacing w:after="120" w:line="360" w:lineRule="auto"/>
        <w:ind w:firstLine="560"/>
        <w:rPr>
          <w:color w:val="auto"/>
        </w:rPr>
      </w:pPr>
      <w:r>
        <w:rPr>
          <w:rFonts w:ascii="Times New Roman" w:hAnsi="Times New Roman" w:eastAsia="仿宋" w:cs="Times New Roman"/>
          <w:color w:val="auto"/>
          <w:sz w:val="28"/>
          <w:szCs w:val="28"/>
        </w:rPr>
        <w:t>锡林浩特市人民检察院2025年度本年支出决算合计1908.97万元，其中：</w:t>
      </w:r>
    </w:p>
    <w:p w14:paraId="523A9586">
      <w:pPr>
        <w:spacing w:after="120" w:line="360" w:lineRule="auto"/>
        <w:ind w:firstLine="560"/>
        <w:rPr>
          <w:color w:val="auto"/>
        </w:rPr>
      </w:pPr>
      <w:r>
        <w:rPr>
          <w:rFonts w:ascii="Times New Roman" w:hAnsi="Times New Roman" w:eastAsia="仿宋" w:cs="Times New Roman"/>
          <w:color w:val="auto"/>
          <w:sz w:val="28"/>
          <w:szCs w:val="28"/>
        </w:rPr>
        <w:t>基本支出1474.82万元，占77.26%；</w:t>
      </w:r>
    </w:p>
    <w:p w14:paraId="745BAB5C">
      <w:pPr>
        <w:spacing w:after="120" w:line="360" w:lineRule="auto"/>
        <w:ind w:firstLine="560"/>
        <w:rPr>
          <w:color w:val="auto"/>
        </w:rPr>
      </w:pPr>
      <w:r>
        <w:rPr>
          <w:rFonts w:ascii="Times New Roman" w:hAnsi="Times New Roman" w:eastAsia="仿宋" w:cs="Times New Roman"/>
          <w:color w:val="auto"/>
          <w:sz w:val="28"/>
          <w:szCs w:val="28"/>
        </w:rPr>
        <w:t>项目支出434.15万元，占22.74%；</w:t>
      </w:r>
    </w:p>
    <w:p w14:paraId="7209534C">
      <w:pPr>
        <w:spacing w:after="120" w:line="360" w:lineRule="auto"/>
        <w:ind w:firstLine="560"/>
        <w:rPr>
          <w:color w:val="auto"/>
        </w:rPr>
      </w:pPr>
      <w:r>
        <w:rPr>
          <w:rFonts w:ascii="Times New Roman" w:hAnsi="Times New Roman" w:eastAsia="仿宋" w:cs="Times New Roman"/>
          <w:color w:val="auto"/>
          <w:sz w:val="28"/>
          <w:szCs w:val="28"/>
        </w:rPr>
        <w:t>上缴上级支出0万元，占0%；</w:t>
      </w:r>
    </w:p>
    <w:p w14:paraId="4615AF4A">
      <w:pPr>
        <w:spacing w:after="120" w:line="360" w:lineRule="auto"/>
        <w:ind w:firstLine="560"/>
        <w:rPr>
          <w:color w:val="auto"/>
        </w:rPr>
      </w:pPr>
      <w:r>
        <w:rPr>
          <w:rFonts w:ascii="Times New Roman" w:hAnsi="Times New Roman" w:eastAsia="仿宋" w:cs="Times New Roman"/>
          <w:color w:val="auto"/>
          <w:sz w:val="28"/>
          <w:szCs w:val="28"/>
        </w:rPr>
        <w:t>经营支出0万元，占0%；</w:t>
      </w:r>
    </w:p>
    <w:p w14:paraId="34FE65ED">
      <w:pPr>
        <w:spacing w:after="120" w:line="360" w:lineRule="auto"/>
        <w:ind w:firstLine="560"/>
        <w:rPr>
          <w:color w:val="auto"/>
        </w:rPr>
      </w:pPr>
      <w:r>
        <w:rPr>
          <w:rFonts w:ascii="Times New Roman" w:hAnsi="Times New Roman" w:eastAsia="仿宋" w:cs="Times New Roman"/>
          <w:color w:val="auto"/>
          <w:sz w:val="28"/>
          <w:szCs w:val="28"/>
        </w:rPr>
        <w:t>对附属单位补助支出0万元，占0%。</w:t>
      </w:r>
    </w:p>
    <w:p w14:paraId="3F3429B3">
      <w:pPr>
        <w:spacing w:before="120" w:after="60"/>
        <w:jc w:val="center"/>
        <w:rPr>
          <w:color w:val="auto"/>
        </w:rPr>
      </w:pPr>
      <w:r>
        <w:rPr>
          <w:color w:val="auto"/>
        </w:rPr>
        <w:drawing>
          <wp:inline distT="0" distB="0" distL="0" distR="0">
            <wp:extent cx="4000500" cy="27336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8"/>
                    <a:srcRect/>
                    <a:stretch>
                      <a:fillRect/>
                    </a:stretch>
                  </pic:blipFill>
                  <pic:spPr>
                    <a:xfrm>
                      <a:off x="0" y="0"/>
                      <a:ext cx="4000500" cy="2733675"/>
                    </a:xfrm>
                    <a:prstGeom prst="rect">
                      <a:avLst/>
                    </a:prstGeom>
                  </pic:spPr>
                </pic:pic>
              </a:graphicData>
            </a:graphic>
          </wp:inline>
        </w:drawing>
      </w:r>
    </w:p>
    <w:p w14:paraId="56F7A42D">
      <w:pPr>
        <w:spacing w:before="60" w:after="200"/>
        <w:jc w:val="center"/>
        <w:rPr>
          <w:color w:val="auto"/>
        </w:rPr>
      </w:pPr>
      <w:r>
        <w:rPr>
          <w:rFonts w:ascii="Times New Roman" w:hAnsi="Times New Roman" w:eastAsia="仿宋" w:cs="Times New Roman"/>
          <w:b/>
          <w:bCs/>
          <w:color w:val="auto"/>
          <w:sz w:val="24"/>
          <w:szCs w:val="24"/>
        </w:rPr>
        <w:t>图2.支出决算图</w:t>
      </w:r>
    </w:p>
    <w:p w14:paraId="5BC368E6">
      <w:pPr>
        <w:pStyle w:val="3"/>
        <w:spacing w:before="240" w:after="160"/>
        <w:rPr>
          <w:color w:val="auto"/>
        </w:rPr>
      </w:pPr>
      <w:bookmarkStart w:id="8" w:name="_Toc30443"/>
      <w:r>
        <w:rPr>
          <w:rFonts w:ascii="Times New Roman" w:hAnsi="Times New Roman" w:eastAsia="黑体" w:cs="Times New Roman"/>
          <w:b/>
          <w:bCs/>
          <w:color w:val="auto"/>
          <w:sz w:val="28"/>
          <w:szCs w:val="28"/>
        </w:rPr>
        <w:t>四、财政拨款收入支出决算总体情况说明</w:t>
      </w:r>
      <w:bookmarkEnd w:id="8"/>
    </w:p>
    <w:p w14:paraId="634206B3">
      <w:pPr>
        <w:spacing w:after="120" w:line="360" w:lineRule="auto"/>
        <w:ind w:firstLine="560"/>
        <w:rPr>
          <w:color w:val="auto"/>
        </w:rPr>
      </w:pPr>
      <w:r>
        <w:rPr>
          <w:rFonts w:ascii="Times New Roman" w:hAnsi="Times New Roman" w:eastAsia="仿宋" w:cs="Times New Roman"/>
          <w:color w:val="auto"/>
          <w:sz w:val="28"/>
          <w:szCs w:val="28"/>
        </w:rPr>
        <w:t>锡林浩特市人民检察院2025年度财政拨款收入、支出决算总计均为1810.67万元，与年初预算相比，收、支总计各增加32.70万元，增长1.84%，变动原因：人员经费年内按流程测算后追加；与上年决算相比，收、支总计各增加50.62万元，增长2.88%，变动原因：人员经费正常调增及国家赔偿费用、引进人才费用等专项经费增加。</w:t>
      </w:r>
    </w:p>
    <w:p w14:paraId="2AEF61B5">
      <w:pPr>
        <w:pStyle w:val="3"/>
        <w:spacing w:before="240" w:after="160"/>
        <w:rPr>
          <w:color w:val="auto"/>
        </w:rPr>
      </w:pPr>
      <w:bookmarkStart w:id="9" w:name="_Toc11594"/>
      <w:r>
        <w:rPr>
          <w:rFonts w:ascii="Times New Roman" w:hAnsi="Times New Roman" w:eastAsia="黑体" w:cs="Times New Roman"/>
          <w:b/>
          <w:bCs/>
          <w:color w:val="auto"/>
          <w:sz w:val="28"/>
          <w:szCs w:val="28"/>
        </w:rPr>
        <w:t>五、一般公共预算财政拨款支出决算情况说明</w:t>
      </w:r>
      <w:bookmarkEnd w:id="9"/>
    </w:p>
    <w:p w14:paraId="7F4E516D">
      <w:pPr>
        <w:spacing w:after="120" w:line="360" w:lineRule="auto"/>
        <w:ind w:firstLine="560"/>
        <w:rPr>
          <w:color w:val="auto"/>
        </w:rPr>
      </w:pPr>
      <w:r>
        <w:rPr>
          <w:rFonts w:ascii="Times New Roman" w:hAnsi="Times New Roman" w:eastAsia="仿宋" w:cs="Times New Roman"/>
          <w:color w:val="auto"/>
          <w:sz w:val="28"/>
          <w:szCs w:val="28"/>
        </w:rPr>
        <w:t>一般公共预算财政拨款支出既包括使用本年从本级财政取得的财政拨款发生的支出，也包括使用上年度财政拨款结转资金发生的支出。</w:t>
      </w:r>
    </w:p>
    <w:p w14:paraId="728E8D53">
      <w:pPr>
        <w:spacing w:after="120" w:line="360" w:lineRule="auto"/>
        <w:ind w:firstLine="560"/>
        <w:rPr>
          <w:color w:val="auto"/>
        </w:rPr>
      </w:pPr>
      <w:r>
        <w:rPr>
          <w:rFonts w:ascii="Times New Roman" w:hAnsi="Times New Roman" w:eastAsia="仿宋" w:cs="Times New Roman"/>
          <w:color w:val="auto"/>
          <w:sz w:val="28"/>
          <w:szCs w:val="28"/>
        </w:rPr>
        <w:t>锡林浩特市人民检察院2025年度一般公共预算财政拨款支出决算1810.67万元。与年初预算1777.97万元相比，完成年初预算的101.84%。其中：</w:t>
      </w:r>
    </w:p>
    <w:p w14:paraId="0D4F3064">
      <w:pPr>
        <w:pStyle w:val="4"/>
        <w:spacing w:before="160" w:after="120"/>
        <w:ind w:firstLine="560"/>
        <w:rPr>
          <w:color w:val="auto"/>
        </w:rPr>
      </w:pPr>
      <w:r>
        <w:rPr>
          <w:rFonts w:ascii="Times New Roman" w:hAnsi="Times New Roman" w:eastAsia="仿宋" w:cs="Times New Roman"/>
          <w:b/>
          <w:bCs/>
          <w:color w:val="auto"/>
          <w:sz w:val="28"/>
          <w:szCs w:val="28"/>
        </w:rPr>
        <w:t>（一）一般公共服务支出（类）</w:t>
      </w:r>
    </w:p>
    <w:p w14:paraId="60C37033">
      <w:pPr>
        <w:spacing w:after="120" w:line="360" w:lineRule="auto"/>
        <w:ind w:firstLine="560"/>
        <w:rPr>
          <w:color w:val="auto"/>
        </w:rPr>
      </w:pPr>
      <w:r>
        <w:rPr>
          <w:rFonts w:ascii="Times New Roman" w:hAnsi="Times New Roman" w:eastAsia="仿宋" w:cs="Times New Roman"/>
          <w:color w:val="auto"/>
          <w:sz w:val="28"/>
          <w:szCs w:val="28"/>
        </w:rPr>
        <w:t>一般公共服务支出（类）决算数为14.30万元，与年初预算相比增加14.30万元。其中：</w:t>
      </w:r>
    </w:p>
    <w:p w14:paraId="4B56F17D">
      <w:pPr>
        <w:spacing w:after="120" w:line="360" w:lineRule="auto"/>
        <w:ind w:firstLine="560"/>
        <w:rPr>
          <w:color w:val="auto"/>
        </w:rPr>
      </w:pPr>
      <w:r>
        <w:rPr>
          <w:rFonts w:ascii="Times New Roman" w:hAnsi="Times New Roman" w:eastAsia="仿宋" w:cs="Times New Roman"/>
          <w:b w:val="0"/>
          <w:bCs w:val="0"/>
          <w:color w:val="auto"/>
          <w:sz w:val="28"/>
          <w:szCs w:val="28"/>
        </w:rPr>
        <w:t>1．其他一般公共服务支出（款）国家赔偿费用支出（项）。年初预算0万元，支出决算14.30万元。决算数与年初预算数的差异原因：本年度发生国家赔偿案件，年中追加国家赔偿费用，年初未安排预算。</w:t>
      </w:r>
    </w:p>
    <w:p w14:paraId="05955A56">
      <w:pPr>
        <w:pStyle w:val="4"/>
        <w:spacing w:before="160" w:after="120"/>
        <w:ind w:firstLine="560"/>
        <w:rPr>
          <w:color w:val="auto"/>
        </w:rPr>
      </w:pPr>
      <w:r>
        <w:rPr>
          <w:rFonts w:ascii="Times New Roman" w:hAnsi="Times New Roman" w:eastAsia="仿宋" w:cs="Times New Roman"/>
          <w:b/>
          <w:bCs/>
          <w:color w:val="auto"/>
          <w:sz w:val="28"/>
          <w:szCs w:val="28"/>
        </w:rPr>
        <w:t>（二）公共安全支出（类）</w:t>
      </w:r>
    </w:p>
    <w:p w14:paraId="5BD9FC86">
      <w:pPr>
        <w:spacing w:after="120" w:line="360" w:lineRule="auto"/>
        <w:ind w:firstLine="560"/>
        <w:rPr>
          <w:color w:val="auto"/>
        </w:rPr>
      </w:pPr>
      <w:r>
        <w:rPr>
          <w:rFonts w:ascii="Times New Roman" w:hAnsi="Times New Roman" w:eastAsia="仿宋" w:cs="Times New Roman"/>
          <w:color w:val="auto"/>
          <w:sz w:val="28"/>
          <w:szCs w:val="28"/>
        </w:rPr>
        <w:t>公共安全支出（类）决算数为1531.56万元，与年初预算相比增加14.29万元。其中：</w:t>
      </w:r>
    </w:p>
    <w:p w14:paraId="1339F7B4">
      <w:pPr>
        <w:spacing w:after="120" w:line="360" w:lineRule="auto"/>
        <w:ind w:firstLine="560"/>
        <w:rPr>
          <w:color w:val="auto"/>
        </w:rPr>
      </w:pPr>
      <w:r>
        <w:rPr>
          <w:rFonts w:ascii="Times New Roman" w:hAnsi="Times New Roman" w:eastAsia="仿宋" w:cs="Times New Roman"/>
          <w:b w:val="0"/>
          <w:bCs w:val="0"/>
          <w:color w:val="auto"/>
          <w:sz w:val="28"/>
          <w:szCs w:val="28"/>
        </w:rPr>
        <w:t>1．检察（款）行政运行（项）。年初预算1127.27万元，支出决算1119.71万元，完成年初预算的99.33%。决算数与年初预算数的差异原因：年初预算按因素法测算，实际执行略有结余。</w:t>
      </w:r>
    </w:p>
    <w:p w14:paraId="54DCC035">
      <w:pPr>
        <w:spacing w:after="120" w:line="360" w:lineRule="auto"/>
        <w:ind w:firstLine="560"/>
        <w:rPr>
          <w:rFonts w:ascii="Times New Roman" w:hAnsi="Times New Roman" w:eastAsia="仿宋" w:cs="Times New Roman"/>
          <w:b w:val="0"/>
          <w:bCs w:val="0"/>
          <w:color w:val="auto"/>
          <w:sz w:val="28"/>
          <w:szCs w:val="28"/>
        </w:rPr>
      </w:pPr>
      <w:r>
        <w:rPr>
          <w:rFonts w:ascii="Times New Roman" w:hAnsi="Times New Roman" w:eastAsia="仿宋" w:cs="Times New Roman"/>
          <w:b w:val="0"/>
          <w:bCs w:val="0"/>
          <w:color w:val="auto"/>
          <w:sz w:val="28"/>
          <w:szCs w:val="28"/>
        </w:rPr>
        <w:t>2．检察（款）一般行政管理事务（项）。年初预算366.31万元，支出决算388.15万元，完成年初预算的105.96%。决算数与年初预算数的差异原因：年中根据办案业务需要追加项目经费，支出相应增加。</w:t>
      </w:r>
    </w:p>
    <w:p w14:paraId="6883353E">
      <w:pPr>
        <w:spacing w:after="120" w:line="360" w:lineRule="auto"/>
        <w:ind w:firstLine="560"/>
        <w:rPr>
          <w:rFonts w:ascii="Times New Roman" w:hAnsi="Times New Roman" w:eastAsia="仿宋" w:cs="Times New Roman"/>
          <w:b w:val="0"/>
          <w:bCs w:val="0"/>
          <w:color w:val="auto"/>
          <w:sz w:val="28"/>
          <w:szCs w:val="28"/>
        </w:rPr>
      </w:pPr>
      <w:r>
        <w:rPr>
          <w:rFonts w:ascii="Times New Roman" w:hAnsi="Times New Roman" w:eastAsia="仿宋" w:cs="Times New Roman"/>
          <w:b w:val="0"/>
          <w:bCs w:val="0"/>
          <w:color w:val="auto"/>
          <w:sz w:val="28"/>
          <w:szCs w:val="28"/>
        </w:rPr>
        <w:t>3．检察（款）其他检察支出（项）。年初预算11.70万元，支出决算11.70万元，完成年初预算的100.00%。</w:t>
      </w:r>
    </w:p>
    <w:p w14:paraId="2DB2584A">
      <w:pPr>
        <w:spacing w:after="120" w:line="360" w:lineRule="auto"/>
        <w:ind w:firstLine="560"/>
        <w:rPr>
          <w:color w:val="auto"/>
        </w:rPr>
      </w:pPr>
      <w:r>
        <w:rPr>
          <w:rFonts w:ascii="Times New Roman" w:hAnsi="Times New Roman" w:eastAsia="仿宋" w:cs="Times New Roman"/>
          <w:b w:val="0"/>
          <w:bCs w:val="0"/>
          <w:color w:val="auto"/>
          <w:sz w:val="28"/>
          <w:szCs w:val="28"/>
        </w:rPr>
        <w:t>4．其他公共安全支出（款）国家司法救助支出（项）。年初预算12.00万元，支出决算12.00万元，完成年初预算的100.00%。决算数与年初预算数的差异原因：司法救助经费按实际救助情况发放，结余资金收回或结转下一年度。</w:t>
      </w:r>
    </w:p>
    <w:p w14:paraId="06AE2B76">
      <w:pPr>
        <w:pStyle w:val="4"/>
        <w:spacing w:before="160" w:after="120"/>
        <w:ind w:firstLine="560"/>
        <w:rPr>
          <w:color w:val="auto"/>
        </w:rPr>
      </w:pPr>
      <w:r>
        <w:rPr>
          <w:rFonts w:ascii="Times New Roman" w:hAnsi="Times New Roman" w:eastAsia="仿宋" w:cs="Times New Roman"/>
          <w:b/>
          <w:bCs/>
          <w:color w:val="auto"/>
          <w:sz w:val="28"/>
          <w:szCs w:val="28"/>
        </w:rPr>
        <w:t>（三）社会保障和就业支出（类）</w:t>
      </w:r>
    </w:p>
    <w:p w14:paraId="5D169872">
      <w:pPr>
        <w:spacing w:after="120" w:line="360" w:lineRule="auto"/>
        <w:ind w:firstLine="560"/>
        <w:rPr>
          <w:color w:val="auto"/>
        </w:rPr>
      </w:pPr>
      <w:r>
        <w:rPr>
          <w:rFonts w:ascii="Times New Roman" w:hAnsi="Times New Roman" w:eastAsia="仿宋" w:cs="Times New Roman"/>
          <w:color w:val="auto"/>
          <w:sz w:val="28"/>
          <w:szCs w:val="28"/>
        </w:rPr>
        <w:t>社会保障和就业支出（类）决算数为133.08万元，与年初预算相比增加12.82万元。其中：</w:t>
      </w:r>
    </w:p>
    <w:p w14:paraId="54484794">
      <w:pPr>
        <w:spacing w:after="120" w:line="360" w:lineRule="auto"/>
        <w:ind w:firstLine="560"/>
        <w:rPr>
          <w:color w:val="auto"/>
        </w:rPr>
      </w:pPr>
      <w:r>
        <w:rPr>
          <w:rFonts w:ascii="Times New Roman" w:hAnsi="Times New Roman" w:eastAsia="仿宋" w:cs="Times New Roman"/>
          <w:b w:val="0"/>
          <w:bCs w:val="0"/>
          <w:color w:val="auto"/>
          <w:sz w:val="28"/>
          <w:szCs w:val="28"/>
        </w:rPr>
        <w:t>1．人力资源和社会保障管理事务（款）引进人才费用（项）。年初预算0万元，支出决算8.00万元。决算数与年初预算数的差异原因：年中追加引进人才专项经费，年初未安排预算。</w:t>
      </w:r>
    </w:p>
    <w:p w14:paraId="70D268A1">
      <w:pPr>
        <w:spacing w:after="120" w:line="360" w:lineRule="auto"/>
        <w:ind w:firstLine="560"/>
        <w:rPr>
          <w:rFonts w:ascii="Times New Roman" w:hAnsi="Times New Roman" w:eastAsia="仿宋" w:cs="Times New Roman"/>
          <w:b w:val="0"/>
          <w:bCs w:val="0"/>
          <w:color w:val="auto"/>
          <w:sz w:val="28"/>
          <w:szCs w:val="28"/>
        </w:rPr>
      </w:pPr>
      <w:r>
        <w:rPr>
          <w:rFonts w:ascii="Times New Roman" w:hAnsi="Times New Roman" w:eastAsia="仿宋" w:cs="Times New Roman"/>
          <w:b w:val="0"/>
          <w:bCs w:val="0"/>
          <w:color w:val="auto"/>
          <w:sz w:val="28"/>
          <w:szCs w:val="28"/>
        </w:rPr>
        <w:t>2．行政事业单位养老支出（款）机关事业单位基本养老保险缴费支出（项）。年初预算80.17万元，支出决算83.38万元，完成年初预算的104.00%。决算数与年初预算数的差异原因：年中财政厅人员经费按流程进行测算后追加。</w:t>
      </w:r>
    </w:p>
    <w:p w14:paraId="0D4AD854">
      <w:pPr>
        <w:spacing w:after="120" w:line="360" w:lineRule="auto"/>
        <w:ind w:firstLine="560"/>
        <w:rPr>
          <w:rFonts w:ascii="Times New Roman" w:hAnsi="Times New Roman" w:eastAsia="仿宋" w:cs="Times New Roman"/>
          <w:b w:val="0"/>
          <w:bCs w:val="0"/>
          <w:color w:val="auto"/>
          <w:sz w:val="28"/>
          <w:szCs w:val="28"/>
        </w:rPr>
      </w:pPr>
      <w:r>
        <w:rPr>
          <w:rFonts w:ascii="Times New Roman" w:hAnsi="Times New Roman" w:eastAsia="仿宋" w:cs="Times New Roman"/>
          <w:b w:val="0"/>
          <w:bCs w:val="0"/>
          <w:color w:val="auto"/>
          <w:sz w:val="28"/>
          <w:szCs w:val="28"/>
        </w:rPr>
        <w:t>3．行政事业单位养老支出（款）机关事业单位职业年金缴费支出（项）。年初预算40.09万元，支出决算41.70万元，完成年初预算的104.02%。决算数与年初预算数的差异原因：年中财政厅人员经费按流程进行测算后追加。</w:t>
      </w:r>
    </w:p>
    <w:p w14:paraId="6D7BDC9B">
      <w:pPr>
        <w:pStyle w:val="4"/>
        <w:spacing w:before="160" w:after="120"/>
        <w:ind w:firstLine="560"/>
        <w:rPr>
          <w:color w:val="auto"/>
        </w:rPr>
      </w:pPr>
      <w:r>
        <w:rPr>
          <w:rFonts w:ascii="Times New Roman" w:hAnsi="Times New Roman" w:eastAsia="仿宋" w:cs="Times New Roman"/>
          <w:b/>
          <w:bCs/>
          <w:color w:val="auto"/>
          <w:sz w:val="28"/>
          <w:szCs w:val="28"/>
        </w:rPr>
        <w:t>（四）卫生健康支出（类）</w:t>
      </w:r>
    </w:p>
    <w:p w14:paraId="0EA4FA14">
      <w:pPr>
        <w:spacing w:after="120" w:line="360" w:lineRule="auto"/>
        <w:ind w:firstLine="560"/>
        <w:rPr>
          <w:color w:val="auto"/>
        </w:rPr>
      </w:pPr>
      <w:r>
        <w:rPr>
          <w:rFonts w:ascii="Times New Roman" w:hAnsi="Times New Roman" w:eastAsia="仿宋" w:cs="Times New Roman"/>
          <w:color w:val="auto"/>
          <w:sz w:val="28"/>
          <w:szCs w:val="28"/>
        </w:rPr>
        <w:t>卫生健康支出（类）决算数为37.62万元，与年初预算相比减少2.22万元。其中：</w:t>
      </w:r>
    </w:p>
    <w:p w14:paraId="1F6A693C">
      <w:pPr>
        <w:spacing w:after="120" w:line="360" w:lineRule="auto"/>
        <w:ind w:firstLine="560"/>
        <w:rPr>
          <w:color w:val="auto"/>
        </w:rPr>
      </w:pPr>
      <w:r>
        <w:rPr>
          <w:rFonts w:ascii="Times New Roman" w:hAnsi="Times New Roman" w:eastAsia="仿宋" w:cs="Times New Roman"/>
          <w:color w:val="auto"/>
          <w:sz w:val="28"/>
          <w:szCs w:val="28"/>
        </w:rPr>
        <w:t>1．行政事业单位医疗（款）行政单位医疗（项）。年初预算39.84万元，支出决算37.62万元，完成年初预算的94.43%。决算数与年初预算数的差异原因：年初预算因素法测算冗余。</w:t>
      </w:r>
    </w:p>
    <w:p w14:paraId="7CF00633">
      <w:pPr>
        <w:pStyle w:val="4"/>
        <w:spacing w:before="160" w:after="120"/>
        <w:ind w:firstLine="560"/>
        <w:rPr>
          <w:color w:val="auto"/>
        </w:rPr>
      </w:pPr>
      <w:r>
        <w:rPr>
          <w:rFonts w:ascii="Times New Roman" w:hAnsi="Times New Roman" w:eastAsia="仿宋" w:cs="Times New Roman"/>
          <w:b/>
          <w:bCs/>
          <w:color w:val="auto"/>
          <w:sz w:val="28"/>
          <w:szCs w:val="28"/>
        </w:rPr>
        <w:t>（五）住房保障支出（类）</w:t>
      </w:r>
    </w:p>
    <w:p w14:paraId="188A488B">
      <w:pPr>
        <w:spacing w:after="120" w:line="360" w:lineRule="auto"/>
        <w:ind w:firstLine="560"/>
        <w:rPr>
          <w:color w:val="auto"/>
        </w:rPr>
      </w:pPr>
      <w:r>
        <w:rPr>
          <w:rFonts w:ascii="Times New Roman" w:hAnsi="Times New Roman" w:eastAsia="仿宋" w:cs="Times New Roman"/>
          <w:color w:val="auto"/>
          <w:sz w:val="28"/>
          <w:szCs w:val="28"/>
        </w:rPr>
        <w:t>住房保障支出（类）决算数为94.12万元，与年初预算相比减少6.48万元。其中：</w:t>
      </w:r>
    </w:p>
    <w:p w14:paraId="213C7106">
      <w:pPr>
        <w:spacing w:after="120" w:line="360" w:lineRule="auto"/>
        <w:ind w:firstLine="560"/>
        <w:rPr>
          <w:color w:val="auto"/>
        </w:rPr>
      </w:pPr>
      <w:r>
        <w:rPr>
          <w:rFonts w:ascii="Times New Roman" w:hAnsi="Times New Roman" w:eastAsia="仿宋" w:cs="Times New Roman"/>
          <w:color w:val="auto"/>
          <w:sz w:val="28"/>
          <w:szCs w:val="28"/>
        </w:rPr>
        <w:t>1．住房改革支出（款）住房公积金（项）。年初预算100.60万元，支出决算94.12万元，完成年初预算的93.56%。决算数与年初预算数的差异原因：年初预算因素法测算冗余。</w:t>
      </w:r>
    </w:p>
    <w:p w14:paraId="0B89DE25">
      <w:pPr>
        <w:pStyle w:val="3"/>
        <w:spacing w:before="240" w:after="160"/>
        <w:rPr>
          <w:color w:val="auto"/>
        </w:rPr>
      </w:pPr>
      <w:bookmarkStart w:id="10" w:name="_Toc12251"/>
      <w:r>
        <w:rPr>
          <w:rFonts w:ascii="Times New Roman" w:hAnsi="Times New Roman" w:eastAsia="黑体" w:cs="Times New Roman"/>
          <w:b/>
          <w:bCs/>
          <w:color w:val="auto"/>
          <w:sz w:val="28"/>
          <w:szCs w:val="28"/>
        </w:rPr>
        <w:t>六、一般公共预算财政拨款基本支出决算情况说明</w:t>
      </w:r>
      <w:bookmarkEnd w:id="10"/>
    </w:p>
    <w:p w14:paraId="5AC69598">
      <w:pPr>
        <w:spacing w:after="120" w:line="360" w:lineRule="auto"/>
        <w:ind w:firstLine="560"/>
        <w:rPr>
          <w:color w:val="auto"/>
        </w:rPr>
      </w:pPr>
      <w:r>
        <w:rPr>
          <w:rFonts w:ascii="Times New Roman" w:hAnsi="Times New Roman" w:eastAsia="仿宋" w:cs="Times New Roman"/>
          <w:color w:val="auto"/>
          <w:sz w:val="28"/>
          <w:szCs w:val="28"/>
        </w:rPr>
        <w:t>锡林浩特市人民检察院2025年度一般公共预算财政拨款基本支出决算1376.52万元，其中：</w:t>
      </w:r>
    </w:p>
    <w:p w14:paraId="222A4A63">
      <w:pPr>
        <w:spacing w:after="120" w:line="360" w:lineRule="auto"/>
        <w:ind w:firstLine="560"/>
        <w:rPr>
          <w:color w:val="auto"/>
        </w:rPr>
      </w:pPr>
      <w:r>
        <w:rPr>
          <w:rFonts w:ascii="Times New Roman" w:hAnsi="Times New Roman" w:eastAsia="仿宋" w:cs="Times New Roman"/>
          <w:color w:val="auto"/>
          <w:sz w:val="28"/>
          <w:szCs w:val="28"/>
        </w:rPr>
        <w:t>（一）人员经费1231.17万元。主要包括：基本工资、津贴补贴、奖金、机关事业单位基本养老保险缴费、职业年金缴费、职工基本医疗保险缴费、其他社会保障缴费、住房公积金、其他工资福利支出。</w:t>
      </w:r>
    </w:p>
    <w:p w14:paraId="7E4AD4E8">
      <w:pPr>
        <w:spacing w:after="120" w:line="360" w:lineRule="auto"/>
        <w:ind w:firstLine="560"/>
        <w:rPr>
          <w:color w:val="auto"/>
        </w:rPr>
      </w:pPr>
      <w:r>
        <w:rPr>
          <w:rFonts w:ascii="Times New Roman" w:hAnsi="Times New Roman" w:eastAsia="仿宋" w:cs="Times New Roman"/>
          <w:color w:val="auto"/>
          <w:sz w:val="28"/>
          <w:szCs w:val="28"/>
        </w:rPr>
        <w:t>（二）公用经费145.35万元。主要包括：办公费、水费、电费、邮电费、取暖费、物业管理费、差旅费、维修（护）费、培训费、公务接待费、工会经费、福利费、公务用车运行维护费、其他交通费用、其他商品和服务支出。</w:t>
      </w:r>
    </w:p>
    <w:p w14:paraId="5B529768">
      <w:pPr>
        <w:pStyle w:val="3"/>
        <w:spacing w:before="240" w:after="160"/>
        <w:rPr>
          <w:color w:val="auto"/>
        </w:rPr>
      </w:pPr>
      <w:bookmarkStart w:id="11" w:name="_Toc9739"/>
      <w:r>
        <w:rPr>
          <w:rFonts w:ascii="Times New Roman" w:hAnsi="Times New Roman" w:eastAsia="黑体" w:cs="Times New Roman"/>
          <w:b/>
          <w:bCs/>
          <w:color w:val="auto"/>
          <w:sz w:val="28"/>
          <w:szCs w:val="28"/>
        </w:rPr>
        <w:t>七、一般公共预算财政拨款项目支出决算情况说明</w:t>
      </w:r>
      <w:bookmarkEnd w:id="11"/>
    </w:p>
    <w:p w14:paraId="217A757F">
      <w:pPr>
        <w:spacing w:after="120" w:line="360" w:lineRule="auto"/>
        <w:ind w:firstLine="560"/>
        <w:rPr>
          <w:color w:val="auto"/>
        </w:rPr>
      </w:pPr>
      <w:r>
        <w:rPr>
          <w:rFonts w:ascii="Times New Roman" w:hAnsi="Times New Roman" w:eastAsia="仿宋" w:cs="Times New Roman"/>
          <w:color w:val="auto"/>
          <w:sz w:val="28"/>
          <w:szCs w:val="28"/>
        </w:rPr>
        <w:t>锡林浩特市人民检察院2025年度一般公共预算财政拨款项目支出决算434.15万元，其中：</w:t>
      </w:r>
    </w:p>
    <w:p w14:paraId="099EBA87">
      <w:pPr>
        <w:spacing w:after="120" w:line="360" w:lineRule="auto"/>
        <w:ind w:firstLine="560"/>
        <w:rPr>
          <w:color w:val="auto"/>
        </w:rPr>
      </w:pPr>
      <w:r>
        <w:rPr>
          <w:rFonts w:ascii="Times New Roman" w:hAnsi="Times New Roman" w:eastAsia="仿宋" w:cs="Times New Roman"/>
          <w:color w:val="auto"/>
          <w:sz w:val="28"/>
          <w:szCs w:val="28"/>
        </w:rPr>
        <w:t>（一）商品和服务支出294.85万元。主要包括：办公费、印刷费、邮电费、取暖费、物业管理费、差旅费、维修（护）费、培训费、劳务费、委托业务费、公务用车运行维护费等。</w:t>
      </w:r>
    </w:p>
    <w:p w14:paraId="0A03E445">
      <w:pPr>
        <w:spacing w:after="120" w:line="360" w:lineRule="auto"/>
        <w:ind w:firstLine="560"/>
        <w:rPr>
          <w:color w:val="auto"/>
        </w:rPr>
      </w:pPr>
      <w:r>
        <w:rPr>
          <w:rFonts w:ascii="Times New Roman" w:hAnsi="Times New Roman" w:eastAsia="仿宋" w:cs="Times New Roman"/>
          <w:color w:val="auto"/>
          <w:sz w:val="28"/>
          <w:szCs w:val="28"/>
        </w:rPr>
        <w:t>（二）对个人和家庭的补助支出20.00万元。主要包括：救济费12.00万元（系向符合条件的人员发放的国家司法救助金）、其他对个人和家庭的补助8.00万元。</w:t>
      </w:r>
    </w:p>
    <w:p w14:paraId="19231099">
      <w:pPr>
        <w:spacing w:after="120" w:line="360" w:lineRule="auto"/>
        <w:ind w:firstLine="560"/>
        <w:rPr>
          <w:color w:val="auto"/>
        </w:rPr>
      </w:pPr>
      <w:r>
        <w:rPr>
          <w:rFonts w:ascii="Times New Roman" w:hAnsi="Times New Roman" w:eastAsia="仿宋" w:cs="Times New Roman"/>
          <w:color w:val="auto"/>
          <w:sz w:val="28"/>
          <w:szCs w:val="28"/>
        </w:rPr>
        <w:t>（三）资本性支出105.01万元。主要包括：办公设备购置61.16万元、专用设备购置43.85万元。</w:t>
      </w:r>
    </w:p>
    <w:p w14:paraId="5648B39B">
      <w:pPr>
        <w:spacing w:after="120" w:line="360" w:lineRule="auto"/>
        <w:ind w:firstLine="560"/>
        <w:rPr>
          <w:color w:val="auto"/>
        </w:rPr>
      </w:pPr>
      <w:r>
        <w:rPr>
          <w:rFonts w:ascii="Times New Roman" w:hAnsi="Times New Roman" w:eastAsia="仿宋" w:cs="Times New Roman"/>
          <w:color w:val="auto"/>
          <w:sz w:val="28"/>
          <w:szCs w:val="28"/>
        </w:rPr>
        <w:t>（四）其他支出14.30万元。主要包括：国家赔偿费用支出14.30万元。</w:t>
      </w:r>
    </w:p>
    <w:p w14:paraId="1A78EAE1">
      <w:pPr>
        <w:pStyle w:val="3"/>
        <w:spacing w:before="240" w:after="160"/>
        <w:rPr>
          <w:color w:val="auto"/>
        </w:rPr>
      </w:pPr>
      <w:bookmarkStart w:id="12" w:name="_Toc15619"/>
      <w:r>
        <w:rPr>
          <w:rFonts w:ascii="Times New Roman" w:hAnsi="Times New Roman" w:eastAsia="黑体" w:cs="Times New Roman"/>
          <w:b/>
          <w:bCs/>
          <w:color w:val="auto"/>
          <w:sz w:val="28"/>
          <w:szCs w:val="28"/>
        </w:rPr>
        <w:t>八、财政拨款“三公”经费支出决算情况说明</w:t>
      </w:r>
      <w:bookmarkEnd w:id="12"/>
    </w:p>
    <w:p w14:paraId="490840D2">
      <w:pPr>
        <w:pStyle w:val="4"/>
        <w:spacing w:before="160" w:after="120"/>
        <w:ind w:firstLine="560"/>
        <w:rPr>
          <w:color w:val="auto"/>
        </w:rPr>
      </w:pPr>
      <w:r>
        <w:rPr>
          <w:rFonts w:ascii="Times New Roman" w:hAnsi="Times New Roman" w:eastAsia="仿宋" w:cs="Times New Roman"/>
          <w:b/>
          <w:bCs/>
          <w:color w:val="auto"/>
          <w:sz w:val="28"/>
          <w:szCs w:val="28"/>
        </w:rPr>
        <w:t>（一）财政拨款“三公”经费支出总体情况说明。</w:t>
      </w:r>
    </w:p>
    <w:p w14:paraId="39B76897">
      <w:pPr>
        <w:spacing w:after="120" w:line="360" w:lineRule="auto"/>
        <w:ind w:firstLine="560"/>
        <w:rPr>
          <w:color w:val="auto"/>
        </w:rPr>
      </w:pPr>
      <w:r>
        <w:rPr>
          <w:rFonts w:ascii="Times New Roman" w:hAnsi="Times New Roman" w:eastAsia="仿宋" w:cs="Times New Roman"/>
          <w:color w:val="auto"/>
          <w:sz w:val="28"/>
          <w:szCs w:val="28"/>
        </w:rPr>
        <w:t>锡林浩特市人民检察院2025年度财政拨款“三公”经费全年预算21.46万元，支出决算21.46万元，完成预算的100.00%。其中：因公出国（境）费全年预算0万元，支出决算0万元；公务用车购置及运行维护费全年预算21.08万元，支出决算21.08万元，完成预算的100.00%；公务接待费全年预算0.38万元，支出决算0.38万元，完成预算的100.00%。2025年度一般公共预算财政拨款“三公”经费全年预算21.46万元，支出决算21.46万元，与预算无差异。</w:t>
      </w:r>
    </w:p>
    <w:p w14:paraId="53C4C832">
      <w:pPr>
        <w:pStyle w:val="4"/>
        <w:spacing w:before="160" w:after="120"/>
        <w:ind w:firstLine="560"/>
        <w:rPr>
          <w:color w:val="auto"/>
        </w:rPr>
      </w:pPr>
      <w:r>
        <w:rPr>
          <w:rFonts w:ascii="Times New Roman" w:hAnsi="Times New Roman" w:eastAsia="仿宋" w:cs="Times New Roman"/>
          <w:b/>
          <w:bCs/>
          <w:color w:val="auto"/>
          <w:sz w:val="28"/>
          <w:szCs w:val="28"/>
        </w:rPr>
        <w:t>（二）财政拨款“三公”经费支出具体情况说明。</w:t>
      </w:r>
    </w:p>
    <w:p w14:paraId="2BF050D9">
      <w:pPr>
        <w:spacing w:after="120" w:line="360" w:lineRule="auto"/>
        <w:ind w:firstLine="560"/>
        <w:rPr>
          <w:color w:val="auto"/>
        </w:rPr>
      </w:pPr>
      <w:r>
        <w:rPr>
          <w:rFonts w:ascii="Times New Roman" w:hAnsi="Times New Roman" w:eastAsia="仿宋" w:cs="Times New Roman"/>
          <w:color w:val="auto"/>
          <w:sz w:val="28"/>
          <w:szCs w:val="28"/>
        </w:rPr>
        <w:t>锡林浩特市人民检察院2025年度财政拨款“三公”经费支出21.46万元。因公出国（境）费支出0万元，占0%；公务用车购置及运行维护费支出21.08万元，占98.24%；公务接待费支出0.38万元，占1.76%。其中：</w:t>
      </w:r>
    </w:p>
    <w:p w14:paraId="32957DB3">
      <w:pPr>
        <w:spacing w:after="120" w:line="360" w:lineRule="auto"/>
        <w:ind w:firstLine="560"/>
        <w:rPr>
          <w:color w:val="auto"/>
        </w:rPr>
      </w:pPr>
      <w:r>
        <w:rPr>
          <w:rFonts w:ascii="Times New Roman" w:hAnsi="Times New Roman" w:eastAsia="仿宋" w:cs="Times New Roman"/>
          <w:color w:val="auto"/>
          <w:sz w:val="28"/>
          <w:szCs w:val="28"/>
        </w:rPr>
        <w:t>1.因公出国（境）费支出0万元，全年出国（境）团组0个，累计0人次。与上年决算相比，增加0万元，增长0%，变动原因：无此事项。</w:t>
      </w:r>
    </w:p>
    <w:p w14:paraId="57B04D30">
      <w:pPr>
        <w:spacing w:after="120" w:line="360" w:lineRule="auto"/>
        <w:ind w:firstLine="560"/>
        <w:rPr>
          <w:color w:val="auto"/>
        </w:rPr>
      </w:pPr>
      <w:r>
        <w:rPr>
          <w:rFonts w:ascii="Times New Roman" w:hAnsi="Times New Roman" w:eastAsia="仿宋" w:cs="Times New Roman"/>
          <w:color w:val="auto"/>
          <w:sz w:val="28"/>
          <w:szCs w:val="28"/>
        </w:rPr>
        <w:t>2.公务用车购置及运行维护费支出21.08万元。其中：</w:t>
      </w:r>
    </w:p>
    <w:p w14:paraId="39EDA289">
      <w:pPr>
        <w:spacing w:after="120" w:line="360" w:lineRule="auto"/>
        <w:ind w:firstLine="560"/>
        <w:rPr>
          <w:color w:val="auto"/>
        </w:rPr>
      </w:pPr>
      <w:r>
        <w:rPr>
          <w:rFonts w:ascii="Times New Roman" w:hAnsi="Times New Roman" w:eastAsia="仿宋" w:cs="Times New Roman"/>
          <w:color w:val="auto"/>
          <w:sz w:val="28"/>
          <w:szCs w:val="28"/>
        </w:rPr>
        <w:t>（1）公务用车购置支出0万元。本年度使用财政拨款购置公务用车0辆。与上年决算相比，减少27.21万元，下降100.00%，变动原因：上年度购置执法执勤用车1辆，本年度无公务用车购置支出。</w:t>
      </w:r>
    </w:p>
    <w:p w14:paraId="0A02896E">
      <w:pPr>
        <w:spacing w:after="120" w:line="360" w:lineRule="auto"/>
        <w:ind w:firstLine="560"/>
        <w:rPr>
          <w:color w:val="auto"/>
        </w:rPr>
      </w:pPr>
      <w:r>
        <w:rPr>
          <w:rFonts w:ascii="Times New Roman" w:hAnsi="Times New Roman" w:eastAsia="仿宋" w:cs="Times New Roman"/>
          <w:color w:val="auto"/>
          <w:sz w:val="28"/>
          <w:szCs w:val="28"/>
        </w:rPr>
        <w:t>（2）公务用车运行维护费支出21.08万元。公务用车运行维护费主要用于按规定保留的公务用车的燃料费、维修费、过桥过路费、保险费、安全奖励费用等支出。截至2025年12月31日，使用财政拨款开支的公务用车保有量为11辆。与上年决算相比，减少0.82万元，下降3.76%，变动原因：深入贯彻过紧日子要求，合理规划车辆使用，运行成本有所下降。</w:t>
      </w:r>
    </w:p>
    <w:p w14:paraId="4950E026">
      <w:pPr>
        <w:spacing w:after="120" w:line="360" w:lineRule="auto"/>
        <w:ind w:firstLine="560"/>
        <w:rPr>
          <w:color w:val="auto"/>
        </w:rPr>
      </w:pPr>
      <w:r>
        <w:rPr>
          <w:rFonts w:ascii="Times New Roman" w:hAnsi="Times New Roman" w:eastAsia="仿宋" w:cs="Times New Roman"/>
          <w:color w:val="auto"/>
          <w:sz w:val="28"/>
          <w:szCs w:val="28"/>
        </w:rPr>
        <w:t>3.公务接待费支出0.38万元。其中：国内公务接待支出0.38万元，接待4批次，33人次，开支内容：用于上级单位调研、检查指导工作接待；国（境）外公务接待支出0万元，接待0批次，0人次。与上年决算相比，增加0.26万元，增长209.40%，变动原因：本年度上级单位调研、检查频次增加，接待批次和人次相应增加。</w:t>
      </w:r>
    </w:p>
    <w:p w14:paraId="1C77DA56">
      <w:pPr>
        <w:pStyle w:val="3"/>
        <w:spacing w:before="240" w:after="160"/>
        <w:rPr>
          <w:color w:val="auto"/>
        </w:rPr>
      </w:pPr>
      <w:bookmarkStart w:id="13" w:name="_Toc29174"/>
      <w:r>
        <w:rPr>
          <w:rFonts w:ascii="Times New Roman" w:hAnsi="Times New Roman" w:eastAsia="黑体" w:cs="Times New Roman"/>
          <w:b/>
          <w:bCs/>
          <w:color w:val="auto"/>
          <w:sz w:val="28"/>
          <w:szCs w:val="28"/>
        </w:rPr>
        <w:t>九、政府性基金预算财政拨款支出决算情况说明</w:t>
      </w:r>
      <w:bookmarkEnd w:id="13"/>
    </w:p>
    <w:p w14:paraId="24A6284D">
      <w:pPr>
        <w:spacing w:after="120" w:line="360" w:lineRule="auto"/>
        <w:ind w:firstLine="560"/>
        <w:rPr>
          <w:color w:val="auto"/>
        </w:rPr>
      </w:pPr>
      <w:r>
        <w:rPr>
          <w:rFonts w:ascii="Times New Roman" w:hAnsi="Times New Roman" w:eastAsia="仿宋" w:cs="Times New Roman"/>
          <w:color w:val="auto"/>
          <w:sz w:val="28"/>
          <w:szCs w:val="28"/>
        </w:rPr>
        <w:t>锡林浩特市人民检察院2025年度政府性基金预算财政拨款支出决算0万元。与上年决算相比，增加0万元，增长0%。</w:t>
      </w:r>
    </w:p>
    <w:p w14:paraId="57A71B2D">
      <w:pPr>
        <w:spacing w:after="120" w:line="360" w:lineRule="auto"/>
        <w:ind w:firstLine="560"/>
        <w:rPr>
          <w:color w:val="auto"/>
        </w:rPr>
      </w:pPr>
      <w:r>
        <w:rPr>
          <w:rFonts w:ascii="Times New Roman" w:hAnsi="Times New Roman" w:eastAsia="仿宋" w:cs="Times New Roman"/>
          <w:color w:val="auto"/>
          <w:sz w:val="28"/>
          <w:szCs w:val="28"/>
        </w:rPr>
        <w:t>本年无政府性基金预算财政拨款收、支、余。</w:t>
      </w:r>
    </w:p>
    <w:p w14:paraId="639EDB4F">
      <w:pPr>
        <w:pStyle w:val="3"/>
        <w:spacing w:before="240" w:after="160"/>
        <w:rPr>
          <w:color w:val="auto"/>
        </w:rPr>
      </w:pPr>
      <w:bookmarkStart w:id="14" w:name="_Toc29242"/>
      <w:r>
        <w:rPr>
          <w:rFonts w:ascii="Times New Roman" w:hAnsi="Times New Roman" w:eastAsia="黑体" w:cs="Times New Roman"/>
          <w:b/>
          <w:bCs/>
          <w:color w:val="auto"/>
          <w:sz w:val="28"/>
          <w:szCs w:val="28"/>
        </w:rPr>
        <w:t>十、国有资本经营预算财政拨款支出决算情况说明</w:t>
      </w:r>
      <w:bookmarkEnd w:id="14"/>
    </w:p>
    <w:p w14:paraId="46580C83">
      <w:pPr>
        <w:spacing w:after="120" w:line="360" w:lineRule="auto"/>
        <w:ind w:firstLine="560"/>
        <w:rPr>
          <w:color w:val="auto"/>
        </w:rPr>
      </w:pPr>
      <w:r>
        <w:rPr>
          <w:rFonts w:ascii="Times New Roman" w:hAnsi="Times New Roman" w:eastAsia="仿宋" w:cs="Times New Roman"/>
          <w:color w:val="auto"/>
          <w:sz w:val="28"/>
          <w:szCs w:val="28"/>
        </w:rPr>
        <w:t>锡林浩特市人民检察院2025年度国有资本经营预算财政拨款支出决算0万元。与上年决算相比，增加0万元，增长0%。</w:t>
      </w:r>
    </w:p>
    <w:p w14:paraId="405E4FF9">
      <w:pPr>
        <w:spacing w:after="120" w:line="360" w:lineRule="auto"/>
        <w:ind w:firstLine="560"/>
        <w:rPr>
          <w:color w:val="auto"/>
        </w:rPr>
      </w:pPr>
      <w:r>
        <w:rPr>
          <w:rFonts w:ascii="Times New Roman" w:hAnsi="Times New Roman" w:eastAsia="仿宋" w:cs="Times New Roman"/>
          <w:color w:val="auto"/>
          <w:sz w:val="28"/>
          <w:szCs w:val="28"/>
        </w:rPr>
        <w:t>本年无国有资本经营预算财政拨款收、支、余。</w:t>
      </w:r>
    </w:p>
    <w:p w14:paraId="74DF5E45">
      <w:pPr>
        <w:pStyle w:val="3"/>
        <w:spacing w:before="240" w:after="160"/>
        <w:rPr>
          <w:color w:val="auto"/>
        </w:rPr>
      </w:pPr>
      <w:bookmarkStart w:id="15" w:name="_Toc11781"/>
      <w:r>
        <w:rPr>
          <w:rFonts w:ascii="Times New Roman" w:hAnsi="Times New Roman" w:eastAsia="黑体" w:cs="Times New Roman"/>
          <w:b/>
          <w:bCs/>
          <w:color w:val="auto"/>
          <w:sz w:val="28"/>
          <w:szCs w:val="28"/>
        </w:rPr>
        <w:t>十一、机关运行经费（公用经费）支出决算情况说明</w:t>
      </w:r>
      <w:bookmarkEnd w:id="15"/>
    </w:p>
    <w:p w14:paraId="2F7EACA6">
      <w:pPr>
        <w:spacing w:after="120" w:line="360" w:lineRule="auto"/>
        <w:ind w:firstLine="560"/>
        <w:rPr>
          <w:color w:val="auto"/>
        </w:rPr>
      </w:pPr>
      <w:r>
        <w:rPr>
          <w:rFonts w:ascii="Times New Roman" w:hAnsi="Times New Roman" w:eastAsia="仿宋" w:cs="Times New Roman"/>
          <w:color w:val="auto"/>
          <w:sz w:val="28"/>
          <w:szCs w:val="28"/>
        </w:rPr>
        <w:t>锡林浩特市人民检察院2025年度公用经费支出决算145.35万元，与上年决算相比，增加8.17万元，增长5.96%，变动原因：本年度办公费、维修（护）费等日常运转支出较上年有所增加。其中，机关运行经费支出决算145.35万元。与上年决算相比，增加8.17万元，增长5.96%，变动原因：因实际办公运转需求不同导致的合理变动。</w:t>
      </w:r>
    </w:p>
    <w:p w14:paraId="4AD8773E">
      <w:pPr>
        <w:pStyle w:val="3"/>
        <w:spacing w:before="240" w:after="160"/>
        <w:rPr>
          <w:color w:val="auto"/>
        </w:rPr>
      </w:pPr>
      <w:bookmarkStart w:id="16" w:name="_Toc14094"/>
      <w:r>
        <w:rPr>
          <w:rFonts w:ascii="Times New Roman" w:hAnsi="Times New Roman" w:eastAsia="黑体" w:cs="Times New Roman"/>
          <w:b/>
          <w:bCs/>
          <w:color w:val="auto"/>
          <w:sz w:val="28"/>
          <w:szCs w:val="28"/>
        </w:rPr>
        <w:t>十二、政府采购支出决算情况说明</w:t>
      </w:r>
      <w:bookmarkEnd w:id="16"/>
    </w:p>
    <w:p w14:paraId="7511BF81">
      <w:pPr>
        <w:spacing w:after="120" w:line="360" w:lineRule="auto"/>
        <w:ind w:firstLine="560"/>
        <w:rPr>
          <w:color w:val="auto"/>
        </w:rPr>
      </w:pPr>
      <w:r>
        <w:rPr>
          <w:rFonts w:ascii="Times New Roman" w:hAnsi="Times New Roman" w:eastAsia="仿宋" w:cs="Times New Roman"/>
          <w:b w:val="0"/>
          <w:bCs w:val="0"/>
          <w:color w:val="auto"/>
          <w:sz w:val="28"/>
          <w:szCs w:val="28"/>
        </w:rPr>
        <w:t>锡林浩特市人民检察院2025年度政府采购支出总额102.10万元，其中：政府采购货物支出34.99万元、政府采购工程支出0万元、政府采购服务支出67.11万元。政府采购授予中小企业合同金额67.99万元，占政府采购支出总额的66.59%，其中：授予小微企业合同金额</w:t>
      </w:r>
      <w:r>
        <w:rPr>
          <w:rFonts w:hint="eastAsia" w:cs="Times New Roman"/>
          <w:b w:val="0"/>
          <w:bCs w:val="0"/>
          <w:color w:val="auto"/>
          <w:sz w:val="28"/>
          <w:szCs w:val="28"/>
          <w:lang w:val="en-US" w:eastAsia="zh-CN"/>
        </w:rPr>
        <w:t>67.99</w:t>
      </w:r>
      <w:r>
        <w:rPr>
          <w:rFonts w:ascii="Times New Roman" w:hAnsi="Times New Roman" w:eastAsia="仿宋" w:cs="Times New Roman"/>
          <w:b w:val="0"/>
          <w:bCs w:val="0"/>
          <w:color w:val="auto"/>
          <w:sz w:val="28"/>
          <w:szCs w:val="28"/>
        </w:rPr>
        <w:t>万元，占政府采购支出总额的</w:t>
      </w:r>
      <w:r>
        <w:rPr>
          <w:rFonts w:hint="eastAsia" w:ascii="Times New Roman" w:hAnsi="Times New Roman" w:eastAsia="仿宋" w:cs="Times New Roman"/>
          <w:b w:val="0"/>
          <w:bCs w:val="0"/>
          <w:color w:val="auto"/>
          <w:sz w:val="28"/>
          <w:szCs w:val="28"/>
          <w:lang w:val="en-US" w:eastAsia="zh-CN"/>
        </w:rPr>
        <w:t>100.00</w:t>
      </w:r>
      <w:r>
        <w:rPr>
          <w:rFonts w:ascii="Times New Roman" w:hAnsi="Times New Roman" w:eastAsia="仿宋" w:cs="Times New Roman"/>
          <w:b w:val="0"/>
          <w:bCs w:val="0"/>
          <w:color w:val="auto"/>
          <w:sz w:val="28"/>
          <w:szCs w:val="28"/>
        </w:rPr>
        <w:t>%；货物采购授予中小企业合同金额占货物支出金额的100.00%，工程采购授予中小企业合同金额占工程支出金额的0%，服务采购授予中小企业合同金额占服务支出金额的100.00%。</w:t>
      </w:r>
    </w:p>
    <w:p w14:paraId="2817AE7D">
      <w:pPr>
        <w:pStyle w:val="3"/>
        <w:spacing w:before="240" w:after="160"/>
        <w:rPr>
          <w:color w:val="auto"/>
        </w:rPr>
      </w:pPr>
      <w:bookmarkStart w:id="17" w:name="_Toc20513"/>
      <w:r>
        <w:rPr>
          <w:rFonts w:ascii="Times New Roman" w:hAnsi="Times New Roman" w:eastAsia="黑体" w:cs="Times New Roman"/>
          <w:b/>
          <w:bCs/>
          <w:color w:val="auto"/>
          <w:sz w:val="28"/>
          <w:szCs w:val="28"/>
        </w:rPr>
        <w:t>十三、国有资产占用情况说明</w:t>
      </w:r>
      <w:bookmarkEnd w:id="17"/>
    </w:p>
    <w:p w14:paraId="62A21454">
      <w:pPr>
        <w:spacing w:after="120" w:line="360" w:lineRule="auto"/>
        <w:ind w:firstLine="560"/>
        <w:rPr>
          <w:color w:val="auto"/>
        </w:rPr>
      </w:pPr>
      <w:r>
        <w:rPr>
          <w:rFonts w:ascii="Times New Roman" w:hAnsi="Times New Roman" w:eastAsia="仿宋" w:cs="Times New Roman"/>
          <w:color w:val="auto"/>
          <w:sz w:val="28"/>
          <w:szCs w:val="28"/>
        </w:rPr>
        <w:t>锡林浩特市人民检察院截至2025年12月31日，本部门（单位）共有车辆21辆，其中：副部（省）级及以上领导用车0辆、主要负责人用车0辆、机要通信用车1辆、应急保障用车0辆、执法执勤用车10辆、特种专业技术用车0辆、离退休干部服务用车0辆、其他用车10辆，其他用车主要是待处置车辆及业务保障用车；单价100万元（含）以上设备（不含车辆）0台（套）。</w:t>
      </w:r>
    </w:p>
    <w:p w14:paraId="4B7E0F52">
      <w:pPr>
        <w:pStyle w:val="3"/>
        <w:spacing w:before="240" w:after="160"/>
        <w:rPr>
          <w:color w:val="auto"/>
        </w:rPr>
      </w:pPr>
      <w:bookmarkStart w:id="18" w:name="_Toc27666"/>
      <w:r>
        <w:rPr>
          <w:rFonts w:ascii="Times New Roman" w:hAnsi="Times New Roman" w:eastAsia="黑体" w:cs="Times New Roman"/>
          <w:b/>
          <w:bCs/>
          <w:color w:val="auto"/>
          <w:sz w:val="28"/>
          <w:szCs w:val="28"/>
        </w:rPr>
        <w:t>十四、预算绩效情况说明</w:t>
      </w:r>
      <w:bookmarkEnd w:id="18"/>
    </w:p>
    <w:p w14:paraId="4DB4FE5A">
      <w:pPr>
        <w:pStyle w:val="4"/>
        <w:spacing w:before="160" w:after="120"/>
        <w:ind w:firstLine="560"/>
        <w:rPr>
          <w:color w:val="auto"/>
        </w:rPr>
      </w:pPr>
      <w:r>
        <w:rPr>
          <w:rFonts w:ascii="Times New Roman" w:hAnsi="Times New Roman" w:eastAsia="仿宋" w:cs="Times New Roman"/>
          <w:b/>
          <w:bCs/>
          <w:color w:val="auto"/>
          <w:sz w:val="28"/>
          <w:szCs w:val="28"/>
        </w:rPr>
        <w:t>（一）预算绩效管理工作开展情况。</w:t>
      </w:r>
    </w:p>
    <w:p w14:paraId="13AB36AB">
      <w:pPr>
        <w:spacing w:after="120" w:line="360" w:lineRule="auto"/>
        <w:ind w:firstLine="560"/>
        <w:rPr>
          <w:rFonts w:ascii="Times New Roman" w:hAnsi="Times New Roman" w:eastAsia="仿宋" w:cs="Times New Roman"/>
          <w:b w:val="0"/>
          <w:bCs w:val="0"/>
          <w:color w:val="auto"/>
          <w:sz w:val="28"/>
          <w:szCs w:val="28"/>
        </w:rPr>
      </w:pPr>
      <w:r>
        <w:rPr>
          <w:rFonts w:ascii="Times New Roman" w:hAnsi="Times New Roman" w:eastAsia="仿宋" w:cs="Times New Roman"/>
          <w:b w:val="0"/>
          <w:bCs w:val="0"/>
          <w:color w:val="auto"/>
          <w:sz w:val="28"/>
          <w:szCs w:val="28"/>
        </w:rPr>
        <w:t>锡林浩特市人民检察院根据预算绩效管理要求，组织对2025年一般公共预算项目支出全面开展绩效自评，共涉及项目2个，资金434.15万元，占一般公共预算项目支出总额的100%；政府性基金预算项目0个，共涉及资金0万元，占政府性基金预算项目支出总额的100%。</w:t>
      </w:r>
    </w:p>
    <w:p w14:paraId="465C7D66">
      <w:pPr>
        <w:spacing w:after="120" w:line="360" w:lineRule="auto"/>
        <w:ind w:firstLine="560"/>
        <w:rPr>
          <w:color w:val="auto"/>
        </w:rPr>
      </w:pPr>
      <w:r>
        <w:rPr>
          <w:rFonts w:ascii="Times New Roman" w:hAnsi="Times New Roman" w:eastAsia="仿宋" w:cs="Times New Roman"/>
          <w:b w:val="0"/>
          <w:bCs w:val="0"/>
          <w:color w:val="auto"/>
          <w:sz w:val="28"/>
          <w:szCs w:val="28"/>
        </w:rPr>
        <w:t>组织对“办案（业务）经费”、“业务装备经费”等2个项目开展了部门评价，涉及一般公共预算支出434.15万元，政府性基金支出0万元。从评价情况看，以上项目的实施过程均严格按照预算的相关规定执行，实现了预期目标，有力保障了检察业务的顺利开展，确保检察业务工作与社会安全稳定需要相匹配。</w:t>
      </w:r>
    </w:p>
    <w:p w14:paraId="40412FC7">
      <w:pPr>
        <w:pStyle w:val="4"/>
        <w:spacing w:before="160" w:after="120"/>
        <w:ind w:firstLine="560"/>
        <w:rPr>
          <w:color w:val="auto"/>
        </w:rPr>
      </w:pPr>
      <w:r>
        <w:rPr>
          <w:rFonts w:ascii="Times New Roman" w:hAnsi="Times New Roman" w:eastAsia="仿宋" w:cs="Times New Roman"/>
          <w:b/>
          <w:bCs/>
          <w:color w:val="auto"/>
          <w:sz w:val="28"/>
          <w:szCs w:val="28"/>
        </w:rPr>
        <w:t>（二）部门（单位）决算中项目绩效自评结果。</w:t>
      </w:r>
    </w:p>
    <w:p w14:paraId="562BECB5">
      <w:pPr>
        <w:spacing w:after="120" w:line="360" w:lineRule="auto"/>
        <w:ind w:firstLine="560"/>
        <w:rPr>
          <w:color w:val="auto"/>
        </w:rPr>
      </w:pPr>
      <w:r>
        <w:rPr>
          <w:rFonts w:ascii="Times New Roman" w:hAnsi="Times New Roman" w:eastAsia="仿宋" w:cs="Times New Roman"/>
          <w:b w:val="0"/>
          <w:bCs w:val="0"/>
          <w:color w:val="auto"/>
          <w:sz w:val="28"/>
          <w:szCs w:val="28"/>
        </w:rPr>
        <w:t>锡林浩特市人民检察院2025年度在决算中反映</w:t>
      </w:r>
      <w:r>
        <w:rPr>
          <w:rFonts w:ascii="Times New Roman" w:hAnsi="Times New Roman" w:eastAsia="仿宋" w:cs="Times New Roman"/>
          <w:b/>
          <w:bCs/>
          <w:color w:val="auto"/>
          <w:sz w:val="28"/>
          <w:szCs w:val="28"/>
        </w:rPr>
        <w:t>2</w:t>
      </w:r>
      <w:r>
        <w:rPr>
          <w:rFonts w:ascii="Times New Roman" w:hAnsi="Times New Roman" w:eastAsia="仿宋" w:cs="Times New Roman"/>
          <w:b w:val="0"/>
          <w:bCs w:val="0"/>
          <w:color w:val="auto"/>
          <w:sz w:val="28"/>
          <w:szCs w:val="28"/>
        </w:rPr>
        <w:t>个一般公共预算项目，以及0个政府性基金项目，共</w:t>
      </w:r>
      <w:r>
        <w:rPr>
          <w:rFonts w:ascii="Times New Roman" w:hAnsi="Times New Roman" w:eastAsia="仿宋" w:cs="Times New Roman"/>
          <w:b/>
          <w:bCs/>
          <w:color w:val="auto"/>
          <w:sz w:val="28"/>
          <w:szCs w:val="28"/>
        </w:rPr>
        <w:t>2</w:t>
      </w:r>
      <w:r>
        <w:rPr>
          <w:rFonts w:ascii="Times New Roman" w:hAnsi="Times New Roman" w:eastAsia="仿宋" w:cs="Times New Roman"/>
          <w:b w:val="0"/>
          <w:bCs w:val="0"/>
          <w:color w:val="auto"/>
          <w:sz w:val="28"/>
          <w:szCs w:val="28"/>
        </w:rPr>
        <w:t>个项目的绩效自评结果。</w:t>
      </w:r>
    </w:p>
    <w:p w14:paraId="1C670BBA">
      <w:pPr>
        <w:numPr>
          <w:ilvl w:val="0"/>
          <w:numId w:val="1"/>
        </w:numPr>
        <w:spacing w:after="120" w:line="360" w:lineRule="auto"/>
        <w:ind w:firstLine="560"/>
        <w:rPr>
          <w:rFonts w:ascii="Times New Roman" w:hAnsi="Times New Roman" w:eastAsia="仿宋" w:cs="Times New Roman"/>
          <w:b w:val="0"/>
          <w:bCs w:val="0"/>
          <w:color w:val="auto"/>
          <w:sz w:val="28"/>
          <w:szCs w:val="28"/>
        </w:rPr>
      </w:pPr>
      <w:r>
        <w:rPr>
          <w:rFonts w:ascii="Times New Roman" w:hAnsi="Times New Roman" w:eastAsia="仿宋" w:cs="Times New Roman"/>
          <w:b w:val="0"/>
          <w:bCs w:val="0"/>
          <w:color w:val="auto"/>
          <w:sz w:val="28"/>
          <w:szCs w:val="28"/>
        </w:rPr>
        <w:t>办案（业务）经费项目自评综述：根据年初设定的绩效目标，项目自评得分95.75分，评价等级为“优”。全年预算数为307.00万元，执行数为306.85万元，完成预算的99.95%。项目绩效目标完成情况：圆满完成既定目标，全年受理案件763件、审结案件763件，年度结案率95%，法定审限内结案率100%，各项检察业务顺利开展，经费使用更加合理，司法公信力持续提升。发现的主要问题及原因：部分项目预算计划与实际需求存在差异，印刷宣传册等个别指标未完成年度目标值。下一步改进措施：进一步提高预算编制的精细化水平。</w:t>
      </w:r>
    </w:p>
    <w:tbl>
      <w:tblPr>
        <w:tblStyle w:val="15"/>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3"/>
        <w:gridCol w:w="499"/>
        <w:gridCol w:w="1018"/>
        <w:gridCol w:w="1133"/>
        <w:gridCol w:w="672"/>
        <w:gridCol w:w="672"/>
        <w:gridCol w:w="890"/>
        <w:gridCol w:w="788"/>
        <w:gridCol w:w="724"/>
        <w:gridCol w:w="548"/>
        <w:gridCol w:w="722"/>
        <w:gridCol w:w="1010"/>
      </w:tblGrid>
      <w:tr w14:paraId="1AE3D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0" w:type="auto"/>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581BE86">
            <w:pPr>
              <w:keepNext w:val="0"/>
              <w:keepLines w:val="0"/>
              <w:widowControl/>
              <w:suppressLineNumbers w:val="0"/>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lang w:val="en-US" w:eastAsia="zh-CN" w:bidi="ar"/>
              </w:rPr>
              <w:t>项目支出绩效自评表</w:t>
            </w:r>
            <w:r>
              <w:rPr>
                <w:rFonts w:hint="eastAsia" w:ascii="宋体" w:hAnsi="宋体" w:eastAsia="宋体" w:cs="宋体"/>
                <w:b/>
                <w:bCs/>
                <w:i w:val="0"/>
                <w:iCs w:val="0"/>
                <w:color w:val="auto"/>
                <w:kern w:val="0"/>
                <w:sz w:val="40"/>
                <w:szCs w:val="40"/>
                <w:u w:val="none"/>
                <w:lang w:val="en-US" w:eastAsia="zh-CN" w:bidi="ar"/>
              </w:rPr>
              <w:br w:type="textWrapping"/>
            </w:r>
            <w:r>
              <w:rPr>
                <w:rFonts w:hint="eastAsia" w:ascii="宋体" w:hAnsi="宋体" w:eastAsia="宋体" w:cs="宋体"/>
                <w:b/>
                <w:bCs/>
                <w:i w:val="0"/>
                <w:iCs w:val="0"/>
                <w:color w:val="auto"/>
                <w:kern w:val="0"/>
                <w:sz w:val="40"/>
                <w:szCs w:val="40"/>
                <w:u w:val="none"/>
                <w:lang w:val="en-US" w:eastAsia="zh-CN" w:bidi="ar"/>
              </w:rPr>
              <w:t>(2025年度）</w:t>
            </w:r>
          </w:p>
        </w:tc>
      </w:tr>
      <w:tr w14:paraId="6E612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5C949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B4DDC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办案（业务）经费</w:t>
            </w:r>
          </w:p>
        </w:tc>
      </w:tr>
      <w:tr w14:paraId="37FF5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838CD1">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主管部门</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9F681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锡林浩特市人民检察院部门</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2C9BC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实施单位</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05422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锡林浩特市人民检察院</w:t>
            </w:r>
          </w:p>
        </w:tc>
      </w:tr>
      <w:tr w14:paraId="673C8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16F5F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项目资金</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8A495D">
            <w:pP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2E0B4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年初预算数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B59D3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全年预算数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DF837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全年执行数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EF3F7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2376F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AD54F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r>
      <w:tr w14:paraId="05C21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10632">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8CB8B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年度资金总额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98E91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285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CB857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307</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7FB31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306.85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082C0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E4A5F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99.95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DE0FB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r>
      <w:tr w14:paraId="0E3FB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6C531">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B5EFE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其中：财政拨款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14C3F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285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D72E4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307</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DB8FD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306.85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660F0">
            <w:pPr>
              <w:keepNext w:val="0"/>
              <w:keepLines w:val="0"/>
              <w:widowControl/>
              <w:suppressLineNumbers w:val="0"/>
              <w:jc w:val="center"/>
              <w:textAlignment w:val="center"/>
              <w:rPr>
                <w:rFonts w:ascii="Arial" w:hAnsi="Arial" w:eastAsia="宋体" w:cs="Arial"/>
                <w:i w:val="0"/>
                <w:iCs w:val="0"/>
                <w:color w:val="auto"/>
                <w:sz w:val="19"/>
                <w:szCs w:val="19"/>
                <w:u w:val="none"/>
              </w:rPr>
            </w:pPr>
            <w:r>
              <w:rPr>
                <w:rFonts w:hint="default" w:ascii="Arial" w:hAnsi="Arial" w:eastAsia="宋体" w:cs="Arial"/>
                <w:i w:val="0"/>
                <w:iCs w:val="0"/>
                <w:color w:val="auto"/>
                <w:kern w:val="0"/>
                <w:sz w:val="19"/>
                <w:szCs w:val="19"/>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4A494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99.95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FEEA0">
            <w:pPr>
              <w:keepNext w:val="0"/>
              <w:keepLines w:val="0"/>
              <w:widowControl/>
              <w:suppressLineNumbers w:val="0"/>
              <w:jc w:val="center"/>
              <w:textAlignment w:val="center"/>
              <w:rPr>
                <w:rFonts w:hint="default" w:ascii="Arial" w:hAnsi="Arial" w:eastAsia="宋体" w:cs="Arial"/>
                <w:i w:val="0"/>
                <w:iCs w:val="0"/>
                <w:color w:val="auto"/>
                <w:sz w:val="19"/>
                <w:szCs w:val="19"/>
                <w:u w:val="none"/>
              </w:rPr>
            </w:pPr>
            <w:r>
              <w:rPr>
                <w:rFonts w:hint="default" w:ascii="Arial" w:hAnsi="Arial" w:eastAsia="宋体" w:cs="Arial"/>
                <w:i w:val="0"/>
                <w:iCs w:val="0"/>
                <w:color w:val="auto"/>
                <w:kern w:val="0"/>
                <w:sz w:val="19"/>
                <w:szCs w:val="19"/>
                <w:u w:val="none"/>
                <w:lang w:val="en-US" w:eastAsia="zh-CN" w:bidi="ar"/>
              </w:rPr>
              <w:t>——</w:t>
            </w:r>
          </w:p>
        </w:tc>
      </w:tr>
      <w:tr w14:paraId="03599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9C9DF">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7525D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上年结转资金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E03FFD">
            <w:pPr>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0988F0">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EC6BD8">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523FB">
            <w:pPr>
              <w:keepNext w:val="0"/>
              <w:keepLines w:val="0"/>
              <w:widowControl/>
              <w:suppressLineNumbers w:val="0"/>
              <w:jc w:val="center"/>
              <w:textAlignment w:val="center"/>
              <w:rPr>
                <w:rFonts w:hint="default" w:ascii="Arial" w:hAnsi="Arial" w:eastAsia="宋体" w:cs="Arial"/>
                <w:i w:val="0"/>
                <w:iCs w:val="0"/>
                <w:color w:val="auto"/>
                <w:sz w:val="19"/>
                <w:szCs w:val="19"/>
                <w:u w:val="none"/>
              </w:rPr>
            </w:pPr>
            <w:r>
              <w:rPr>
                <w:rFonts w:hint="default" w:ascii="Arial" w:hAnsi="Arial" w:eastAsia="宋体" w:cs="Arial"/>
                <w:i w:val="0"/>
                <w:iCs w:val="0"/>
                <w:color w:val="auto"/>
                <w:kern w:val="0"/>
                <w:sz w:val="19"/>
                <w:szCs w:val="19"/>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9E3DA8">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DA1E4">
            <w:pPr>
              <w:keepNext w:val="0"/>
              <w:keepLines w:val="0"/>
              <w:widowControl/>
              <w:suppressLineNumbers w:val="0"/>
              <w:jc w:val="center"/>
              <w:textAlignment w:val="center"/>
              <w:rPr>
                <w:rFonts w:hint="default" w:ascii="Arial" w:hAnsi="Arial" w:eastAsia="宋体" w:cs="Arial"/>
                <w:i w:val="0"/>
                <w:iCs w:val="0"/>
                <w:color w:val="auto"/>
                <w:sz w:val="19"/>
                <w:szCs w:val="19"/>
                <w:u w:val="none"/>
              </w:rPr>
            </w:pPr>
            <w:r>
              <w:rPr>
                <w:rFonts w:hint="default" w:ascii="Arial" w:hAnsi="Arial" w:eastAsia="宋体" w:cs="Arial"/>
                <w:i w:val="0"/>
                <w:iCs w:val="0"/>
                <w:color w:val="auto"/>
                <w:kern w:val="0"/>
                <w:sz w:val="19"/>
                <w:szCs w:val="19"/>
                <w:u w:val="none"/>
                <w:lang w:val="en-US" w:eastAsia="zh-CN" w:bidi="ar"/>
              </w:rPr>
              <w:t>——</w:t>
            </w:r>
          </w:p>
        </w:tc>
      </w:tr>
      <w:tr w14:paraId="16BDA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88B5E">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03BC2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1F9A1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2704B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CE103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B2495">
            <w:pPr>
              <w:keepNext w:val="0"/>
              <w:keepLines w:val="0"/>
              <w:widowControl/>
              <w:suppressLineNumbers w:val="0"/>
              <w:jc w:val="center"/>
              <w:textAlignment w:val="center"/>
              <w:rPr>
                <w:rFonts w:hint="default" w:ascii="Arial" w:hAnsi="Arial" w:eastAsia="宋体" w:cs="Arial"/>
                <w:i w:val="0"/>
                <w:iCs w:val="0"/>
                <w:color w:val="auto"/>
                <w:sz w:val="19"/>
                <w:szCs w:val="19"/>
                <w:u w:val="none"/>
              </w:rPr>
            </w:pPr>
            <w:r>
              <w:rPr>
                <w:rFonts w:hint="default" w:ascii="Arial" w:hAnsi="Arial" w:eastAsia="宋体" w:cs="Arial"/>
                <w:i w:val="0"/>
                <w:iCs w:val="0"/>
                <w:color w:val="auto"/>
                <w:kern w:val="0"/>
                <w:sz w:val="19"/>
                <w:szCs w:val="19"/>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23905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62EA3">
            <w:pPr>
              <w:keepNext w:val="0"/>
              <w:keepLines w:val="0"/>
              <w:widowControl/>
              <w:suppressLineNumbers w:val="0"/>
              <w:jc w:val="center"/>
              <w:textAlignment w:val="center"/>
              <w:rPr>
                <w:rFonts w:hint="default" w:ascii="Arial" w:hAnsi="Arial" w:eastAsia="宋体" w:cs="Arial"/>
                <w:i w:val="0"/>
                <w:iCs w:val="0"/>
                <w:color w:val="auto"/>
                <w:sz w:val="19"/>
                <w:szCs w:val="19"/>
                <w:u w:val="none"/>
              </w:rPr>
            </w:pPr>
            <w:r>
              <w:rPr>
                <w:rFonts w:hint="default" w:ascii="Arial" w:hAnsi="Arial" w:eastAsia="宋体" w:cs="Arial"/>
                <w:i w:val="0"/>
                <w:iCs w:val="0"/>
                <w:color w:val="auto"/>
                <w:kern w:val="0"/>
                <w:sz w:val="19"/>
                <w:szCs w:val="19"/>
                <w:u w:val="none"/>
                <w:lang w:val="en-US" w:eastAsia="zh-CN" w:bidi="ar"/>
              </w:rPr>
              <w:t>——</w:t>
            </w:r>
          </w:p>
        </w:tc>
      </w:tr>
      <w:tr w14:paraId="3CCC2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71314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436DF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预期目标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457F6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实际完成情况</w:t>
            </w:r>
          </w:p>
        </w:tc>
      </w:tr>
      <w:tr w14:paraId="02E08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E1E7C">
            <w:pPr>
              <w:jc w:val="center"/>
              <w:rPr>
                <w:rFonts w:hint="eastAsia" w:ascii="宋体" w:hAnsi="宋体" w:eastAsia="宋体" w:cs="宋体"/>
                <w:i w:val="0"/>
                <w:iCs w:val="0"/>
                <w:color w:val="auto"/>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E6EB7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保障日常办案业务需要，充分发挥部门职能，进一步提供办公效率。更高标准抓好政治建设，坚定正确政治方向.更实举措服务发展大局，展现新时代检察担当更加精准强化法律监督，持续提升司法公信 </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3A3B9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圆满完成既定目标，各项检察业务顺利开展，经费使用更加合理。办公效率进一步提升。司法公信力持续提升。</w:t>
            </w:r>
          </w:p>
        </w:tc>
      </w:tr>
      <w:tr w14:paraId="5B17A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BB686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绩效指标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64B42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356A1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C933F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51773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F9141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指标方向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2E2CF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年度指标值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A96ED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0DF8C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计量单位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BEE1A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84559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0485E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偏差原因分析及改进措施</w:t>
            </w:r>
          </w:p>
        </w:tc>
      </w:tr>
      <w:tr w14:paraId="4E122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1B24CBE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绩效指标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0AEBABC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产出指标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5C499E5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数量指标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EFA973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受理案件数量</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95BA3C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7ABFF9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7FF694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750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3C3AD0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763</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D953C0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件</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DFF5C1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5D91E0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9D02664">
            <w:pPr>
              <w:jc w:val="center"/>
              <w:rPr>
                <w:rFonts w:hint="eastAsia" w:ascii="宋体" w:hAnsi="宋体" w:eastAsia="宋体" w:cs="宋体"/>
                <w:i w:val="0"/>
                <w:iCs w:val="0"/>
                <w:color w:val="auto"/>
                <w:sz w:val="18"/>
                <w:szCs w:val="18"/>
                <w:u w:val="none"/>
              </w:rPr>
            </w:pPr>
          </w:p>
        </w:tc>
      </w:tr>
      <w:tr w14:paraId="7C349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7B12E87">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9EBEAEE">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E63ACED">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16C042F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审结案件数量</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9B88DD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F77CAE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F03D6D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705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92275A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763</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97CFED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件</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8479FA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5271DD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C6486D8">
            <w:pPr>
              <w:jc w:val="center"/>
              <w:rPr>
                <w:rFonts w:hint="eastAsia" w:ascii="宋体" w:hAnsi="宋体" w:eastAsia="宋体" w:cs="宋体"/>
                <w:i w:val="0"/>
                <w:iCs w:val="0"/>
                <w:color w:val="auto"/>
                <w:sz w:val="18"/>
                <w:szCs w:val="18"/>
                <w:u w:val="none"/>
              </w:rPr>
            </w:pPr>
          </w:p>
        </w:tc>
      </w:tr>
      <w:tr w14:paraId="0EAA0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D6E9E0C">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5D29571">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EF4556F">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3301477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印刷宣传册</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569D82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839930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22E10D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6000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C5D453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4500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1EB238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003541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79D07F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3.75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C1C733B">
            <w:pPr>
              <w:jc w:val="center"/>
              <w:rPr>
                <w:rFonts w:hint="eastAsia" w:ascii="宋体" w:hAnsi="宋体" w:eastAsia="宋体" w:cs="宋体"/>
                <w:i w:val="0"/>
                <w:iCs w:val="0"/>
                <w:color w:val="auto"/>
                <w:sz w:val="18"/>
                <w:szCs w:val="18"/>
                <w:u w:val="none"/>
              </w:rPr>
            </w:pPr>
          </w:p>
        </w:tc>
      </w:tr>
      <w:tr w14:paraId="48834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52D92BB">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F77D43E">
            <w:pPr>
              <w:jc w:val="center"/>
              <w:rPr>
                <w:rFonts w:hint="eastAsia" w:ascii="宋体" w:hAnsi="宋体" w:eastAsia="宋体" w:cs="宋体"/>
                <w:i w:val="0"/>
                <w:iCs w:val="0"/>
                <w:color w:val="auto"/>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6557F46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质量指标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A525F3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年度结案率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6DD958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D5A42D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EAFB4E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94</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347034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9EC7AD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15DBD2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E0BB11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AC81097">
            <w:pPr>
              <w:jc w:val="center"/>
              <w:rPr>
                <w:rFonts w:hint="eastAsia" w:ascii="宋体" w:hAnsi="宋体" w:eastAsia="宋体" w:cs="宋体"/>
                <w:i w:val="0"/>
                <w:iCs w:val="0"/>
                <w:color w:val="auto"/>
                <w:sz w:val="18"/>
                <w:szCs w:val="18"/>
                <w:u w:val="none"/>
              </w:rPr>
            </w:pPr>
          </w:p>
        </w:tc>
      </w:tr>
      <w:tr w14:paraId="6AA61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240F09D">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609E227">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BAE0F5F">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31A0857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宣传册发放率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16A4F0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36D08A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9E3037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99</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DAAEE5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1A8D4A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105BD1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DA0FE1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DD5488A">
            <w:pPr>
              <w:jc w:val="center"/>
              <w:rPr>
                <w:rFonts w:hint="eastAsia" w:ascii="宋体" w:hAnsi="宋体" w:eastAsia="宋体" w:cs="宋体"/>
                <w:i w:val="0"/>
                <w:iCs w:val="0"/>
                <w:color w:val="auto"/>
                <w:sz w:val="18"/>
                <w:szCs w:val="18"/>
                <w:u w:val="none"/>
              </w:rPr>
            </w:pPr>
          </w:p>
        </w:tc>
      </w:tr>
      <w:tr w14:paraId="40ED0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6930DDD">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C4F1D76">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CD7F01E">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388574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培训合格率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096DAD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FED5D6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38B54B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99</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1C71C5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B63EE1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1F022F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341D02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4D73C12">
            <w:pPr>
              <w:jc w:val="center"/>
              <w:rPr>
                <w:rFonts w:hint="eastAsia" w:ascii="宋体" w:hAnsi="宋体" w:eastAsia="宋体" w:cs="宋体"/>
                <w:i w:val="0"/>
                <w:iCs w:val="0"/>
                <w:color w:val="auto"/>
                <w:sz w:val="18"/>
                <w:szCs w:val="18"/>
                <w:u w:val="none"/>
              </w:rPr>
            </w:pPr>
          </w:p>
        </w:tc>
      </w:tr>
      <w:tr w14:paraId="44F76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A56BE40">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04C8DA9">
            <w:pPr>
              <w:jc w:val="center"/>
              <w:rPr>
                <w:rFonts w:hint="eastAsia" w:ascii="宋体" w:hAnsi="宋体" w:eastAsia="宋体" w:cs="宋体"/>
                <w:i w:val="0"/>
                <w:iCs w:val="0"/>
                <w:color w:val="auto"/>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4AB1377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时效指标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489C0E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审案及时率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013318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6A2082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AA1C22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98</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03F124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7C27B7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FCC647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B6C6A4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266C195">
            <w:pPr>
              <w:jc w:val="center"/>
              <w:rPr>
                <w:rFonts w:hint="eastAsia" w:ascii="宋体" w:hAnsi="宋体" w:eastAsia="宋体" w:cs="宋体"/>
                <w:i w:val="0"/>
                <w:iCs w:val="0"/>
                <w:color w:val="auto"/>
                <w:sz w:val="18"/>
                <w:szCs w:val="18"/>
                <w:u w:val="none"/>
              </w:rPr>
            </w:pPr>
          </w:p>
        </w:tc>
      </w:tr>
      <w:tr w14:paraId="64EA0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85DD63A">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8FC87D6">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F564495">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6163605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法定审限内结案率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D753B4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BE4CCB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F0AA45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94</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41AE56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141DA4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81D848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FDC01F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7129B63">
            <w:pPr>
              <w:jc w:val="center"/>
              <w:rPr>
                <w:rFonts w:hint="eastAsia" w:ascii="宋体" w:hAnsi="宋体" w:eastAsia="宋体" w:cs="宋体"/>
                <w:i w:val="0"/>
                <w:iCs w:val="0"/>
                <w:color w:val="auto"/>
                <w:sz w:val="18"/>
                <w:szCs w:val="18"/>
                <w:u w:val="none"/>
              </w:rPr>
            </w:pPr>
          </w:p>
        </w:tc>
      </w:tr>
      <w:tr w14:paraId="189EA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6259183">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B01EBCE">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D7665B9">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71F75D7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培训时间</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6A2099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2AA7172">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59BA2A5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每月</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6FD54B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每月</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99D2F38">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57AAF4B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54008A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BC4F78F">
            <w:pPr>
              <w:jc w:val="center"/>
              <w:rPr>
                <w:rFonts w:hint="eastAsia" w:ascii="宋体" w:hAnsi="宋体" w:eastAsia="宋体" w:cs="宋体"/>
                <w:i w:val="0"/>
                <w:iCs w:val="0"/>
                <w:color w:val="auto"/>
                <w:sz w:val="18"/>
                <w:szCs w:val="18"/>
                <w:u w:val="none"/>
              </w:rPr>
            </w:pPr>
          </w:p>
        </w:tc>
      </w:tr>
      <w:tr w14:paraId="49472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70BBFE7">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46927B0">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0A47726">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08F1B20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宣传时间</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168903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BCD7796">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01F50EF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每季度</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93E509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每月</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EE7F95F">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529A3A2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3ED890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F6B26B3">
            <w:pPr>
              <w:jc w:val="center"/>
              <w:rPr>
                <w:rFonts w:hint="eastAsia" w:ascii="宋体" w:hAnsi="宋体" w:eastAsia="宋体" w:cs="宋体"/>
                <w:i w:val="0"/>
                <w:iCs w:val="0"/>
                <w:color w:val="auto"/>
                <w:sz w:val="18"/>
                <w:szCs w:val="18"/>
                <w:u w:val="none"/>
              </w:rPr>
            </w:pPr>
          </w:p>
        </w:tc>
      </w:tr>
      <w:tr w14:paraId="311E3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C61482B">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13AEFC9">
            <w:pPr>
              <w:jc w:val="center"/>
              <w:rPr>
                <w:rFonts w:hint="eastAsia" w:ascii="宋体" w:hAnsi="宋体" w:eastAsia="宋体" w:cs="宋体"/>
                <w:i w:val="0"/>
                <w:iCs w:val="0"/>
                <w:color w:val="auto"/>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65D9072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成本指标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180D8E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印刷成本</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B6A880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反向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0E290E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小于等于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9D22D3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358BD7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FA4B22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万元</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B85FA5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F8DB85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7756527">
            <w:pPr>
              <w:jc w:val="center"/>
              <w:rPr>
                <w:rFonts w:hint="eastAsia" w:ascii="宋体" w:hAnsi="宋体" w:eastAsia="宋体" w:cs="宋体"/>
                <w:i w:val="0"/>
                <w:iCs w:val="0"/>
                <w:color w:val="auto"/>
                <w:sz w:val="18"/>
                <w:szCs w:val="18"/>
                <w:u w:val="none"/>
              </w:rPr>
            </w:pPr>
          </w:p>
        </w:tc>
      </w:tr>
      <w:tr w14:paraId="022B6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05DF977">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4109603">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8A379A1">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6989DE3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办案成本</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345456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反向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32DC82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小于等于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3860DC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276</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D9DB08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276</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3629B8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万元</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754894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F72DFF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8F2953C">
            <w:pPr>
              <w:jc w:val="center"/>
              <w:rPr>
                <w:rFonts w:hint="eastAsia" w:ascii="宋体" w:hAnsi="宋体" w:eastAsia="宋体" w:cs="宋体"/>
                <w:i w:val="0"/>
                <w:iCs w:val="0"/>
                <w:color w:val="auto"/>
                <w:sz w:val="18"/>
                <w:szCs w:val="18"/>
                <w:u w:val="none"/>
              </w:rPr>
            </w:pPr>
          </w:p>
        </w:tc>
      </w:tr>
      <w:tr w14:paraId="61A77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8BB621C">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9A1594A">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5B9CC33">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736F89B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培训成本</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023E12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反向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BB1064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小于等于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7517CF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7A873A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9CE01A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万元</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A4CD75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BD08B7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796648B">
            <w:pPr>
              <w:jc w:val="center"/>
              <w:rPr>
                <w:rFonts w:hint="eastAsia" w:ascii="宋体" w:hAnsi="宋体" w:eastAsia="宋体" w:cs="宋体"/>
                <w:i w:val="0"/>
                <w:iCs w:val="0"/>
                <w:color w:val="auto"/>
                <w:sz w:val="18"/>
                <w:szCs w:val="18"/>
                <w:u w:val="none"/>
              </w:rPr>
            </w:pPr>
          </w:p>
        </w:tc>
      </w:tr>
      <w:tr w14:paraId="00F09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6273469">
            <w:pPr>
              <w:jc w:val="center"/>
              <w:rPr>
                <w:rFonts w:hint="eastAsia" w:ascii="宋体" w:hAnsi="宋体" w:eastAsia="宋体" w:cs="宋体"/>
                <w:i w:val="0"/>
                <w:iCs w:val="0"/>
                <w:color w:val="auto"/>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47C9990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效益指标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496E5C0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社会效益</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6E186B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办案人员能力</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926ACD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F2FC6F0">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7C6DB94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提升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BACC04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持续提升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384D550">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1A3C60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D6E352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E11952E">
            <w:pPr>
              <w:jc w:val="center"/>
              <w:rPr>
                <w:rFonts w:hint="eastAsia" w:ascii="宋体" w:hAnsi="宋体" w:eastAsia="宋体" w:cs="宋体"/>
                <w:i w:val="0"/>
                <w:iCs w:val="0"/>
                <w:color w:val="auto"/>
                <w:sz w:val="18"/>
                <w:szCs w:val="18"/>
                <w:u w:val="none"/>
              </w:rPr>
            </w:pPr>
          </w:p>
        </w:tc>
      </w:tr>
      <w:tr w14:paraId="089E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F4C69D5">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4FA2CEB">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C7265A6">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0CAA4DA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办案效率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6CA2DE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E248652">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5B9964B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提高</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979252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切实提高</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F3D1E0A">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63B39E0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C44396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2998BCD">
            <w:pPr>
              <w:jc w:val="center"/>
              <w:rPr>
                <w:rFonts w:hint="eastAsia" w:ascii="宋体" w:hAnsi="宋体" w:eastAsia="宋体" w:cs="宋体"/>
                <w:i w:val="0"/>
                <w:iCs w:val="0"/>
                <w:color w:val="auto"/>
                <w:sz w:val="18"/>
                <w:szCs w:val="18"/>
                <w:u w:val="none"/>
              </w:rPr>
            </w:pPr>
          </w:p>
        </w:tc>
      </w:tr>
      <w:tr w14:paraId="673AF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7D5ECE7">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73C232B">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3C1D488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可持续影响</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723772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加强社会主义法制建设</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790F5A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B535D12">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68317A3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长期</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F5DE68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长期贯彻落实</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9D78EA6">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1575AB8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25E473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6126A88">
            <w:pPr>
              <w:jc w:val="center"/>
              <w:rPr>
                <w:rFonts w:hint="eastAsia" w:ascii="宋体" w:hAnsi="宋体" w:eastAsia="宋体" w:cs="宋体"/>
                <w:i w:val="0"/>
                <w:iCs w:val="0"/>
                <w:color w:val="auto"/>
                <w:sz w:val="18"/>
                <w:szCs w:val="18"/>
                <w:u w:val="none"/>
              </w:rPr>
            </w:pPr>
          </w:p>
        </w:tc>
      </w:tr>
      <w:tr w14:paraId="432E2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51DE169">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6931F08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满意度指标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2654F5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服务对象满意度</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0385B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办案人员满意度</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E0A0F4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751799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7CEAEF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99</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2DA66B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292A0F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469568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37191B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F679C7C">
            <w:pPr>
              <w:jc w:val="center"/>
              <w:rPr>
                <w:rFonts w:hint="eastAsia" w:ascii="宋体" w:hAnsi="宋体" w:eastAsia="宋体" w:cs="宋体"/>
                <w:i w:val="0"/>
                <w:iCs w:val="0"/>
                <w:color w:val="auto"/>
                <w:sz w:val="18"/>
                <w:szCs w:val="18"/>
                <w:u w:val="none"/>
              </w:rPr>
            </w:pPr>
          </w:p>
        </w:tc>
      </w:tr>
      <w:tr w14:paraId="54EA7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11B57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4EAEC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CA081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95.75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77A362">
            <w:pPr>
              <w:jc w:val="center"/>
              <w:rPr>
                <w:rFonts w:hint="eastAsia" w:ascii="宋体" w:hAnsi="宋体" w:eastAsia="宋体" w:cs="宋体"/>
                <w:i w:val="0"/>
                <w:iCs w:val="0"/>
                <w:color w:val="auto"/>
                <w:sz w:val="18"/>
                <w:szCs w:val="18"/>
                <w:u w:val="none"/>
              </w:rPr>
            </w:pPr>
          </w:p>
        </w:tc>
      </w:tr>
    </w:tbl>
    <w:p w14:paraId="090EF19B">
      <w:pPr>
        <w:numPr>
          <w:ilvl w:val="0"/>
          <w:numId w:val="0"/>
        </w:numPr>
        <w:spacing w:after="120" w:line="360" w:lineRule="auto"/>
        <w:rPr>
          <w:rFonts w:ascii="Times New Roman" w:hAnsi="Times New Roman" w:eastAsia="仿宋" w:cs="Times New Roman"/>
          <w:b w:val="0"/>
          <w:bCs w:val="0"/>
          <w:color w:val="auto"/>
          <w:sz w:val="28"/>
          <w:szCs w:val="28"/>
        </w:rPr>
      </w:pPr>
    </w:p>
    <w:p w14:paraId="0B584E05">
      <w:pPr>
        <w:numPr>
          <w:ilvl w:val="0"/>
          <w:numId w:val="1"/>
        </w:numPr>
        <w:spacing w:after="120" w:line="360" w:lineRule="auto"/>
        <w:ind w:left="0" w:leftChars="0" w:firstLine="560" w:firstLineChars="0"/>
        <w:rPr>
          <w:rFonts w:ascii="Times New Roman" w:hAnsi="Times New Roman" w:eastAsia="仿宋" w:cs="Times New Roman"/>
          <w:b w:val="0"/>
          <w:bCs w:val="0"/>
          <w:color w:val="auto"/>
          <w:sz w:val="28"/>
          <w:szCs w:val="28"/>
        </w:rPr>
      </w:pPr>
      <w:r>
        <w:rPr>
          <w:rFonts w:ascii="Times New Roman" w:hAnsi="Times New Roman" w:eastAsia="仿宋" w:cs="Times New Roman"/>
          <w:b w:val="0"/>
          <w:bCs w:val="0"/>
          <w:color w:val="auto"/>
          <w:sz w:val="28"/>
          <w:szCs w:val="28"/>
        </w:rPr>
        <w:t>业务装备经费项目自评综述：根据年初设定的绩效目标，项目自评得分92.57分，评价等级为“优”。全年预算数为105.01万元，执行数为105.01万元，完成预算的100.00%。项目绩效目标完成情况：完成既定任务，建成门禁安防设备、数字化会议室设备、档案室专业数字化设备等专项设备配备，装备利用率和装备验收合格率均达100%，检察业务装备水平得到有效提升。发现的主要问题及原因：预算编制与年内实际需求存在差异，扫描仪、打印机等部分装备未按年度目标完成采购。下一步改进措施：进一步改进采购预算编制流程，提高预算编制精细化水平。</w:t>
      </w:r>
    </w:p>
    <w:tbl>
      <w:tblPr>
        <w:tblStyle w:val="15"/>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21"/>
        <w:gridCol w:w="563"/>
        <w:gridCol w:w="846"/>
        <w:gridCol w:w="1624"/>
        <w:gridCol w:w="560"/>
        <w:gridCol w:w="560"/>
        <w:gridCol w:w="817"/>
        <w:gridCol w:w="776"/>
        <w:gridCol w:w="680"/>
        <w:gridCol w:w="510"/>
        <w:gridCol w:w="669"/>
        <w:gridCol w:w="1023"/>
      </w:tblGrid>
      <w:tr w14:paraId="47C73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0" w:type="auto"/>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64084E2">
            <w:pPr>
              <w:keepNext w:val="0"/>
              <w:keepLines w:val="0"/>
              <w:widowControl/>
              <w:suppressLineNumbers w:val="0"/>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lang w:val="en-US" w:eastAsia="zh-CN" w:bidi="ar"/>
              </w:rPr>
              <w:t>项目支出绩效自评表</w:t>
            </w:r>
            <w:r>
              <w:rPr>
                <w:rFonts w:hint="eastAsia" w:ascii="宋体" w:hAnsi="宋体" w:eastAsia="宋体" w:cs="宋体"/>
                <w:b/>
                <w:bCs/>
                <w:i w:val="0"/>
                <w:iCs w:val="0"/>
                <w:color w:val="auto"/>
                <w:kern w:val="0"/>
                <w:sz w:val="40"/>
                <w:szCs w:val="40"/>
                <w:u w:val="none"/>
                <w:lang w:val="en-US" w:eastAsia="zh-CN" w:bidi="ar"/>
              </w:rPr>
              <w:br w:type="textWrapping"/>
            </w:r>
            <w:r>
              <w:rPr>
                <w:rFonts w:hint="eastAsia" w:ascii="宋体" w:hAnsi="宋体" w:eastAsia="宋体" w:cs="宋体"/>
                <w:b/>
                <w:bCs/>
                <w:i w:val="0"/>
                <w:iCs w:val="0"/>
                <w:color w:val="auto"/>
                <w:kern w:val="0"/>
                <w:sz w:val="40"/>
                <w:szCs w:val="40"/>
                <w:u w:val="none"/>
                <w:lang w:val="en-US" w:eastAsia="zh-CN" w:bidi="ar"/>
              </w:rPr>
              <w:t>(2025年度）</w:t>
            </w:r>
          </w:p>
        </w:tc>
      </w:tr>
      <w:tr w14:paraId="76A8F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526E4D">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ECBDB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业务装备经费</w:t>
            </w:r>
          </w:p>
        </w:tc>
      </w:tr>
      <w:tr w14:paraId="12F28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E65F5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主管部门</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758BD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锡林浩特市人民检察院部门</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7247BF">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实施单位</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482AA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锡林浩特市人民检察院</w:t>
            </w:r>
          </w:p>
        </w:tc>
      </w:tr>
      <w:tr w14:paraId="4440A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15C7D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项目资金</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D62145">
            <w:pP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7C5C0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年初预算数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EB3EB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全年预算数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D7987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全年执行数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563EF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BD1B7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910D5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r>
      <w:tr w14:paraId="4E424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FDA23">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ADF3A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年度资金总额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6CE42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105.01</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45226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105.01</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44207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105.01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0BED1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0D69D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0ECED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r>
      <w:tr w14:paraId="57E72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0DFBC">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8E8FD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其中：财政拨款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82877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105.01</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E72D2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105.01</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FABCC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7D027">
            <w:pPr>
              <w:keepNext w:val="0"/>
              <w:keepLines w:val="0"/>
              <w:widowControl/>
              <w:suppressLineNumbers w:val="0"/>
              <w:jc w:val="center"/>
              <w:textAlignment w:val="center"/>
              <w:rPr>
                <w:rFonts w:ascii="Arial" w:hAnsi="Arial" w:eastAsia="宋体" w:cs="Arial"/>
                <w:i w:val="0"/>
                <w:iCs w:val="0"/>
                <w:color w:val="auto"/>
                <w:sz w:val="19"/>
                <w:szCs w:val="19"/>
                <w:u w:val="none"/>
              </w:rPr>
            </w:pPr>
            <w:r>
              <w:rPr>
                <w:rFonts w:hint="default" w:ascii="Arial" w:hAnsi="Arial" w:eastAsia="宋体" w:cs="Arial"/>
                <w:i w:val="0"/>
                <w:iCs w:val="0"/>
                <w:color w:val="auto"/>
                <w:kern w:val="0"/>
                <w:sz w:val="19"/>
                <w:szCs w:val="19"/>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1C319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D841D">
            <w:pPr>
              <w:keepNext w:val="0"/>
              <w:keepLines w:val="0"/>
              <w:widowControl/>
              <w:suppressLineNumbers w:val="0"/>
              <w:jc w:val="center"/>
              <w:textAlignment w:val="center"/>
              <w:rPr>
                <w:rFonts w:hint="default" w:ascii="Arial" w:hAnsi="Arial" w:eastAsia="宋体" w:cs="Arial"/>
                <w:i w:val="0"/>
                <w:iCs w:val="0"/>
                <w:color w:val="auto"/>
                <w:sz w:val="19"/>
                <w:szCs w:val="19"/>
                <w:u w:val="none"/>
              </w:rPr>
            </w:pPr>
            <w:r>
              <w:rPr>
                <w:rFonts w:hint="default" w:ascii="Arial" w:hAnsi="Arial" w:eastAsia="宋体" w:cs="Arial"/>
                <w:i w:val="0"/>
                <w:iCs w:val="0"/>
                <w:color w:val="auto"/>
                <w:kern w:val="0"/>
                <w:sz w:val="19"/>
                <w:szCs w:val="19"/>
                <w:u w:val="none"/>
                <w:lang w:val="en-US" w:eastAsia="zh-CN" w:bidi="ar"/>
              </w:rPr>
              <w:t>——</w:t>
            </w:r>
          </w:p>
        </w:tc>
      </w:tr>
      <w:tr w14:paraId="4E75F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DCE58">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42730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上年结转资金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0C9B72">
            <w:pPr>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1DBF35">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5E2D82">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670DA">
            <w:pPr>
              <w:keepNext w:val="0"/>
              <w:keepLines w:val="0"/>
              <w:widowControl/>
              <w:suppressLineNumbers w:val="0"/>
              <w:jc w:val="center"/>
              <w:textAlignment w:val="center"/>
              <w:rPr>
                <w:rFonts w:hint="default" w:ascii="Arial" w:hAnsi="Arial" w:eastAsia="宋体" w:cs="Arial"/>
                <w:i w:val="0"/>
                <w:iCs w:val="0"/>
                <w:color w:val="auto"/>
                <w:sz w:val="19"/>
                <w:szCs w:val="19"/>
                <w:u w:val="none"/>
              </w:rPr>
            </w:pPr>
            <w:r>
              <w:rPr>
                <w:rFonts w:hint="default" w:ascii="Arial" w:hAnsi="Arial" w:eastAsia="宋体" w:cs="Arial"/>
                <w:i w:val="0"/>
                <w:iCs w:val="0"/>
                <w:color w:val="auto"/>
                <w:kern w:val="0"/>
                <w:sz w:val="19"/>
                <w:szCs w:val="19"/>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4A07F">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145E7">
            <w:pPr>
              <w:keepNext w:val="0"/>
              <w:keepLines w:val="0"/>
              <w:widowControl/>
              <w:suppressLineNumbers w:val="0"/>
              <w:jc w:val="center"/>
              <w:textAlignment w:val="center"/>
              <w:rPr>
                <w:rFonts w:hint="default" w:ascii="Arial" w:hAnsi="Arial" w:eastAsia="宋体" w:cs="Arial"/>
                <w:i w:val="0"/>
                <w:iCs w:val="0"/>
                <w:color w:val="auto"/>
                <w:sz w:val="19"/>
                <w:szCs w:val="19"/>
                <w:u w:val="none"/>
              </w:rPr>
            </w:pPr>
            <w:r>
              <w:rPr>
                <w:rFonts w:hint="default" w:ascii="Arial" w:hAnsi="Arial" w:eastAsia="宋体" w:cs="Arial"/>
                <w:i w:val="0"/>
                <w:iCs w:val="0"/>
                <w:color w:val="auto"/>
                <w:kern w:val="0"/>
                <w:sz w:val="19"/>
                <w:szCs w:val="19"/>
                <w:u w:val="none"/>
                <w:lang w:val="en-US" w:eastAsia="zh-CN" w:bidi="ar"/>
              </w:rPr>
              <w:t>——</w:t>
            </w:r>
          </w:p>
        </w:tc>
      </w:tr>
      <w:tr w14:paraId="7205C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94034">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65D02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A80EB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8781E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2DA2B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2040F">
            <w:pPr>
              <w:keepNext w:val="0"/>
              <w:keepLines w:val="0"/>
              <w:widowControl/>
              <w:suppressLineNumbers w:val="0"/>
              <w:jc w:val="center"/>
              <w:textAlignment w:val="center"/>
              <w:rPr>
                <w:rFonts w:hint="default" w:ascii="Arial" w:hAnsi="Arial" w:eastAsia="宋体" w:cs="Arial"/>
                <w:i w:val="0"/>
                <w:iCs w:val="0"/>
                <w:color w:val="auto"/>
                <w:sz w:val="19"/>
                <w:szCs w:val="19"/>
                <w:u w:val="none"/>
              </w:rPr>
            </w:pPr>
            <w:r>
              <w:rPr>
                <w:rFonts w:hint="default" w:ascii="Arial" w:hAnsi="Arial" w:eastAsia="宋体" w:cs="Arial"/>
                <w:i w:val="0"/>
                <w:iCs w:val="0"/>
                <w:color w:val="auto"/>
                <w:kern w:val="0"/>
                <w:sz w:val="19"/>
                <w:szCs w:val="19"/>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094EA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4DD44">
            <w:pPr>
              <w:keepNext w:val="0"/>
              <w:keepLines w:val="0"/>
              <w:widowControl/>
              <w:suppressLineNumbers w:val="0"/>
              <w:jc w:val="center"/>
              <w:textAlignment w:val="center"/>
              <w:rPr>
                <w:rFonts w:hint="default" w:ascii="Arial" w:hAnsi="Arial" w:eastAsia="宋体" w:cs="Arial"/>
                <w:i w:val="0"/>
                <w:iCs w:val="0"/>
                <w:color w:val="auto"/>
                <w:sz w:val="19"/>
                <w:szCs w:val="19"/>
                <w:u w:val="none"/>
              </w:rPr>
            </w:pPr>
            <w:r>
              <w:rPr>
                <w:rFonts w:hint="default" w:ascii="Arial" w:hAnsi="Arial" w:eastAsia="宋体" w:cs="Arial"/>
                <w:i w:val="0"/>
                <w:iCs w:val="0"/>
                <w:color w:val="auto"/>
                <w:kern w:val="0"/>
                <w:sz w:val="19"/>
                <w:szCs w:val="19"/>
                <w:u w:val="none"/>
                <w:lang w:val="en-US" w:eastAsia="zh-CN" w:bidi="ar"/>
              </w:rPr>
              <w:t>——</w:t>
            </w:r>
          </w:p>
        </w:tc>
      </w:tr>
      <w:tr w14:paraId="121D9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69F6A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FC71C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预期目标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DFA02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实际完成情况</w:t>
            </w:r>
          </w:p>
        </w:tc>
      </w:tr>
      <w:tr w14:paraId="6E941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1DD21">
            <w:pPr>
              <w:jc w:val="center"/>
              <w:rPr>
                <w:rFonts w:hint="eastAsia" w:ascii="宋体" w:hAnsi="宋体" w:eastAsia="宋体" w:cs="宋体"/>
                <w:i w:val="0"/>
                <w:iCs w:val="0"/>
                <w:color w:val="auto"/>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1E71D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保障办案业务部门装备使用，不断提高工作效率，提高业务装备水平，保障办案效率的进一步提高，保障办案水平的提升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BDDCB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完成既定任务，检察业务装备水平得到有效提升，各项业务顺利开展。</w:t>
            </w:r>
          </w:p>
        </w:tc>
      </w:tr>
      <w:tr w14:paraId="5DE90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4650E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绩效指标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B3599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A9B3C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B0A23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F71DF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E1DBE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指标方向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9EE2D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年度指标值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00A21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6E22B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计量单位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7C3BA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B2619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9F3C6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偏差原因分析及改进措施</w:t>
            </w:r>
          </w:p>
        </w:tc>
      </w:tr>
      <w:tr w14:paraId="19ECE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2228363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绩效指标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6BD8B8B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产出指标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419D09F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数量指标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54F42E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采购扫描仪</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6CC691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C8AD7D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73EFF4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8C4EE1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F631AD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01E048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C1E721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17617F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业务需要变动导致需求减少</w:t>
            </w:r>
          </w:p>
        </w:tc>
      </w:tr>
      <w:tr w14:paraId="5ECD0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D8D8262">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2930EB7">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CCBC231">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5B9F4F8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采购打印机</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1EC797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77F4B8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186BFE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BB64D5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52CC17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412F61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78DEF9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6.4</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DFB4331">
            <w:pPr>
              <w:jc w:val="center"/>
              <w:rPr>
                <w:rFonts w:hint="eastAsia" w:ascii="宋体" w:hAnsi="宋体" w:eastAsia="宋体" w:cs="宋体"/>
                <w:i w:val="0"/>
                <w:iCs w:val="0"/>
                <w:color w:val="auto"/>
                <w:sz w:val="18"/>
                <w:szCs w:val="18"/>
                <w:u w:val="none"/>
              </w:rPr>
            </w:pPr>
          </w:p>
        </w:tc>
      </w:tr>
      <w:tr w14:paraId="4616F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5133B0E">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09DB6A9">
            <w:pPr>
              <w:jc w:val="center"/>
              <w:rPr>
                <w:rFonts w:hint="eastAsia" w:ascii="宋体" w:hAnsi="宋体" w:eastAsia="宋体" w:cs="宋体"/>
                <w:i w:val="0"/>
                <w:iCs w:val="0"/>
                <w:color w:val="auto"/>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56080C7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质量指标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79E00B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装备利用率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80383C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E71DDB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A49A5A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99</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D3FB1B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51049F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49145C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EDAFE0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531885D">
            <w:pPr>
              <w:jc w:val="center"/>
              <w:rPr>
                <w:rFonts w:hint="eastAsia" w:ascii="宋体" w:hAnsi="宋体" w:eastAsia="宋体" w:cs="宋体"/>
                <w:i w:val="0"/>
                <w:iCs w:val="0"/>
                <w:color w:val="auto"/>
                <w:sz w:val="18"/>
                <w:szCs w:val="18"/>
                <w:u w:val="none"/>
              </w:rPr>
            </w:pPr>
          </w:p>
        </w:tc>
      </w:tr>
      <w:tr w14:paraId="54A99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28A2B7A">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CC101C1">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13EB11E">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32D93DD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装备验收合格率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19DC64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020C45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6DF4CA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99</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AF9D27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0D3DAE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178FE2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C91A74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4821C8F">
            <w:pPr>
              <w:jc w:val="center"/>
              <w:rPr>
                <w:rFonts w:hint="eastAsia" w:ascii="宋体" w:hAnsi="宋体" w:eastAsia="宋体" w:cs="宋体"/>
                <w:i w:val="0"/>
                <w:iCs w:val="0"/>
                <w:color w:val="auto"/>
                <w:sz w:val="18"/>
                <w:szCs w:val="18"/>
                <w:u w:val="none"/>
              </w:rPr>
            </w:pPr>
          </w:p>
        </w:tc>
      </w:tr>
      <w:tr w14:paraId="2901D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4C5A845">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5A23D03">
            <w:pPr>
              <w:jc w:val="center"/>
              <w:rPr>
                <w:rFonts w:hint="eastAsia" w:ascii="宋体" w:hAnsi="宋体" w:eastAsia="宋体" w:cs="宋体"/>
                <w:i w:val="0"/>
                <w:iCs w:val="0"/>
                <w:color w:val="auto"/>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57DE5D7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时效指标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07597A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装备采购时间</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9D2AAC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反向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A20AA7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小于等于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E468C8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F9A955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454749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天</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19DC0D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C00730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213E554">
            <w:pPr>
              <w:jc w:val="center"/>
              <w:rPr>
                <w:rFonts w:hint="eastAsia" w:ascii="宋体" w:hAnsi="宋体" w:eastAsia="宋体" w:cs="宋体"/>
                <w:i w:val="0"/>
                <w:iCs w:val="0"/>
                <w:color w:val="auto"/>
                <w:sz w:val="18"/>
                <w:szCs w:val="18"/>
                <w:u w:val="none"/>
              </w:rPr>
            </w:pPr>
          </w:p>
        </w:tc>
      </w:tr>
      <w:tr w14:paraId="58491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25B131A">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8C7EB5A">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229AA20">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3646F9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装备采购时限</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15DE32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反向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74660C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小于等于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D70034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DA2824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21FC97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天</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513147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33B20F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3829645">
            <w:pPr>
              <w:jc w:val="center"/>
              <w:rPr>
                <w:rFonts w:hint="eastAsia" w:ascii="宋体" w:hAnsi="宋体" w:eastAsia="宋体" w:cs="宋体"/>
                <w:i w:val="0"/>
                <w:iCs w:val="0"/>
                <w:color w:val="auto"/>
                <w:sz w:val="18"/>
                <w:szCs w:val="18"/>
                <w:u w:val="none"/>
              </w:rPr>
            </w:pPr>
          </w:p>
        </w:tc>
      </w:tr>
      <w:tr w14:paraId="7255E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FDB1C90">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13474E9">
            <w:pPr>
              <w:jc w:val="center"/>
              <w:rPr>
                <w:rFonts w:hint="eastAsia" w:ascii="宋体" w:hAnsi="宋体" w:eastAsia="宋体" w:cs="宋体"/>
                <w:i w:val="0"/>
                <w:iCs w:val="0"/>
                <w:color w:val="auto"/>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68F4476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成本指标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05560F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装备采购成本</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D4B667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反向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87C160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小于等于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751761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89.04</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17B134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89.04</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941046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万元</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7DE937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781763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8B766A9">
            <w:pPr>
              <w:jc w:val="center"/>
              <w:rPr>
                <w:rFonts w:hint="eastAsia" w:ascii="宋体" w:hAnsi="宋体" w:eastAsia="宋体" w:cs="宋体"/>
                <w:i w:val="0"/>
                <w:iCs w:val="0"/>
                <w:color w:val="auto"/>
                <w:sz w:val="18"/>
                <w:szCs w:val="18"/>
                <w:u w:val="none"/>
              </w:rPr>
            </w:pPr>
          </w:p>
        </w:tc>
      </w:tr>
      <w:tr w14:paraId="5E186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5C8E763">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C5CCA45">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9BF0EAE">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644AC9D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扫描仪采购成本</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90BA51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反向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231845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小于等于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472D4D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EA5B4C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9F2EFF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万元</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89530B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2449DA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893592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业务需要变动导致需求减少</w:t>
            </w:r>
          </w:p>
        </w:tc>
      </w:tr>
      <w:tr w14:paraId="74802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13D4960">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59DF784">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CD3B02D">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E920B1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便携式同步录音录像设备采购成本</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A75478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反向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A6207D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小于等于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0C23A7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11.96</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407897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EBBBBB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万元</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790F10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5D1D7D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62C944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业务需要变动导致需求减少</w:t>
            </w:r>
          </w:p>
        </w:tc>
      </w:tr>
      <w:tr w14:paraId="41DC5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8C40FCA">
            <w:pPr>
              <w:jc w:val="center"/>
              <w:rPr>
                <w:rFonts w:hint="eastAsia" w:ascii="宋体" w:hAnsi="宋体" w:eastAsia="宋体" w:cs="宋体"/>
                <w:i w:val="0"/>
                <w:iCs w:val="0"/>
                <w:color w:val="auto"/>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6F4C20E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效益指标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4BEABC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社会效益</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5FC90D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设备利用率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F63271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87EFB3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FF04DC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A9E61E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FD18F4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408A74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429A47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7FD6C23">
            <w:pPr>
              <w:jc w:val="center"/>
              <w:rPr>
                <w:rFonts w:hint="eastAsia" w:ascii="宋体" w:hAnsi="宋体" w:eastAsia="宋体" w:cs="宋体"/>
                <w:i w:val="0"/>
                <w:iCs w:val="0"/>
                <w:color w:val="auto"/>
                <w:sz w:val="18"/>
                <w:szCs w:val="18"/>
                <w:u w:val="none"/>
              </w:rPr>
            </w:pPr>
          </w:p>
        </w:tc>
      </w:tr>
      <w:tr w14:paraId="07E1A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A97A927">
            <w:pPr>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26CBFAB">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7AC1486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可持续影响指标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967415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推动人民检察院业务装备建设的标准化规范化</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117EC6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092D46F">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60D4D7E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长期</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3E0CB5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长期坚持</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20AF71D">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142810A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38532A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C0D4144">
            <w:pPr>
              <w:jc w:val="center"/>
              <w:rPr>
                <w:rFonts w:hint="eastAsia" w:ascii="宋体" w:hAnsi="宋体" w:eastAsia="宋体" w:cs="宋体"/>
                <w:i w:val="0"/>
                <w:iCs w:val="0"/>
                <w:color w:val="auto"/>
                <w:sz w:val="18"/>
                <w:szCs w:val="18"/>
                <w:u w:val="none"/>
              </w:rPr>
            </w:pPr>
          </w:p>
        </w:tc>
      </w:tr>
      <w:tr w14:paraId="4904A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8A9755F">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19675A4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满意度指标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B926B7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服务对象满意度</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9E6C3C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使用人员满意度</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DB9036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5890A4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A45892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99</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77F770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90DA23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6642C9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1FE257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8D70B0B">
            <w:pPr>
              <w:jc w:val="center"/>
              <w:rPr>
                <w:rFonts w:hint="eastAsia" w:ascii="宋体" w:hAnsi="宋体" w:eastAsia="宋体" w:cs="宋体"/>
                <w:i w:val="0"/>
                <w:iCs w:val="0"/>
                <w:color w:val="auto"/>
                <w:sz w:val="18"/>
                <w:szCs w:val="18"/>
                <w:u w:val="none"/>
              </w:rPr>
            </w:pPr>
          </w:p>
        </w:tc>
      </w:tr>
      <w:tr w14:paraId="672A5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9E93D5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624CD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189CB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92.57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CB4530">
            <w:pPr>
              <w:jc w:val="center"/>
              <w:rPr>
                <w:rFonts w:hint="eastAsia" w:ascii="宋体" w:hAnsi="宋体" w:eastAsia="宋体" w:cs="宋体"/>
                <w:i w:val="0"/>
                <w:iCs w:val="0"/>
                <w:color w:val="auto"/>
                <w:sz w:val="18"/>
                <w:szCs w:val="18"/>
                <w:u w:val="none"/>
              </w:rPr>
            </w:pPr>
          </w:p>
        </w:tc>
      </w:tr>
    </w:tbl>
    <w:p w14:paraId="255CCF64">
      <w:pPr>
        <w:numPr>
          <w:ilvl w:val="0"/>
          <w:numId w:val="0"/>
        </w:numPr>
        <w:spacing w:after="120" w:line="360" w:lineRule="auto"/>
        <w:rPr>
          <w:rFonts w:hint="eastAsia" w:ascii="Times New Roman" w:hAnsi="Times New Roman" w:eastAsia="仿宋" w:cs="Times New Roman"/>
          <w:b w:val="0"/>
          <w:bCs w:val="0"/>
          <w:color w:val="auto"/>
          <w:sz w:val="28"/>
          <w:szCs w:val="28"/>
          <w:lang w:val="en-US" w:eastAsia="zh-CN"/>
        </w:rPr>
      </w:pPr>
    </w:p>
    <w:p w14:paraId="7D6E5A69">
      <w:pPr>
        <w:pStyle w:val="4"/>
        <w:spacing w:before="160" w:after="120"/>
        <w:ind w:firstLine="560"/>
        <w:rPr>
          <w:color w:val="auto"/>
        </w:rPr>
      </w:pPr>
      <w:r>
        <w:rPr>
          <w:rFonts w:ascii="Times New Roman" w:hAnsi="Times New Roman" w:eastAsia="仿宋" w:cs="Times New Roman"/>
          <w:b/>
          <w:bCs/>
          <w:color w:val="auto"/>
          <w:sz w:val="28"/>
          <w:szCs w:val="28"/>
        </w:rPr>
        <w:t>（三）部门项目绩效评价结果。</w:t>
      </w:r>
    </w:p>
    <w:p w14:paraId="4A37964B">
      <w:pPr>
        <w:spacing w:after="120" w:line="360" w:lineRule="auto"/>
        <w:ind w:firstLine="560"/>
        <w:rPr>
          <w:rFonts w:ascii="Times New Roman" w:hAnsi="Times New Roman" w:eastAsia="仿宋" w:cs="Times New Roman"/>
          <w:b w:val="0"/>
          <w:bCs w:val="0"/>
          <w:color w:val="auto"/>
          <w:sz w:val="28"/>
          <w:szCs w:val="28"/>
        </w:rPr>
      </w:pPr>
      <w:r>
        <w:rPr>
          <w:rFonts w:ascii="Times New Roman" w:hAnsi="Times New Roman" w:eastAsia="仿宋" w:cs="Times New Roman"/>
          <w:b w:val="0"/>
          <w:bCs w:val="0"/>
          <w:color w:val="auto"/>
          <w:sz w:val="28"/>
          <w:szCs w:val="28"/>
        </w:rPr>
        <w:t>以办案（业务）经费项目为例，该项目绩效评价综合得分为95.75分，绩效评价结果为“优”。部门项目绩效评价得分情况详见部门（单位）具体绩效评价结果。</w:t>
      </w:r>
    </w:p>
    <w:p w14:paraId="0F9A028C">
      <w:pPr>
        <w:pStyle w:val="4"/>
        <w:spacing w:before="160" w:after="120"/>
        <w:ind w:firstLine="560"/>
        <w:rPr>
          <w:color w:val="auto"/>
        </w:rPr>
      </w:pPr>
      <w:r>
        <w:rPr>
          <w:rFonts w:ascii="Times New Roman" w:hAnsi="Times New Roman" w:eastAsia="仿宋" w:cs="Times New Roman"/>
          <w:b/>
          <w:bCs/>
          <w:color w:val="auto"/>
          <w:sz w:val="28"/>
          <w:szCs w:val="28"/>
        </w:rPr>
        <w:t>（四）部门（单位）预算绩效管理制度和核心绩效指标标准体系建设情况。</w:t>
      </w:r>
    </w:p>
    <w:p w14:paraId="09D9F4A3">
      <w:pPr>
        <w:spacing w:after="120" w:line="360" w:lineRule="auto"/>
        <w:ind w:firstLine="560"/>
        <w:rPr>
          <w:rFonts w:ascii="Times New Roman" w:hAnsi="Times New Roman" w:eastAsia="仿宋" w:cs="Times New Roman"/>
          <w:b w:val="0"/>
          <w:bCs w:val="0"/>
          <w:color w:val="auto"/>
          <w:sz w:val="28"/>
          <w:szCs w:val="28"/>
        </w:rPr>
      </w:pPr>
      <w:r>
        <w:rPr>
          <w:rFonts w:ascii="Times New Roman" w:hAnsi="Times New Roman" w:eastAsia="仿宋" w:cs="Times New Roman"/>
          <w:b w:val="0"/>
          <w:bCs w:val="0"/>
          <w:color w:val="auto"/>
          <w:sz w:val="28"/>
          <w:szCs w:val="28"/>
        </w:rPr>
        <w:t>本部门（单位）按照预算绩效管理有关要求，建立健全预算绩效管理制度，实行项目支出绩效目标管理、绩效运行监控和绩效自评全覆盖，并将绩效自评结果应用于下一年度预算编制。制定《财务管理制度》《内部控制制度》，成立内控小组，建立完善的预算支出审批流程，重大资金支出经党组会研究讨论，严格控制预算项目和经济分类，做到无预算不支出；会计、出纳岗位职责相分离，严格规范政府采购流程，落实采购事前审批和验收环节。同时结合检察业务实际，围绕产出、效益、满意度等维度设置成本、数量、质量、时效、社会效益、可持续影响、服务对象满意度等核心绩效指标，初步形成与项目支出相适应的核心绩效指标标准体系。</w:t>
      </w:r>
    </w:p>
    <w:p w14:paraId="6E0219CF">
      <w:pPr>
        <w:pStyle w:val="2"/>
        <w:spacing w:before="320" w:after="200"/>
        <w:rPr>
          <w:color w:val="auto"/>
        </w:rPr>
      </w:pPr>
      <w:bookmarkStart w:id="19" w:name="_Toc6068"/>
      <w:r>
        <w:rPr>
          <w:rFonts w:ascii="Times New Roman" w:hAnsi="Times New Roman" w:eastAsia="黑体" w:cs="Times New Roman"/>
          <w:b/>
          <w:bCs/>
          <w:color w:val="auto"/>
          <w:sz w:val="32"/>
          <w:szCs w:val="32"/>
        </w:rPr>
        <w:t>第三部分  名词解释</w:t>
      </w:r>
      <w:bookmarkEnd w:id="19"/>
    </w:p>
    <w:p w14:paraId="7FF64462">
      <w:pPr>
        <w:spacing w:after="120" w:line="360" w:lineRule="auto"/>
        <w:ind w:firstLine="560"/>
        <w:rPr>
          <w:color w:val="auto"/>
        </w:rPr>
      </w:pPr>
      <w:r>
        <w:rPr>
          <w:rFonts w:ascii="Times New Roman" w:hAnsi="Times New Roman" w:eastAsia="仿宋" w:cs="Times New Roman"/>
          <w:color w:val="auto"/>
          <w:sz w:val="28"/>
          <w:szCs w:val="28"/>
        </w:rPr>
        <w:t>一、财政拨款收入：从同级财政部门取得的各类财政拨款，包括一般公共预算财政拨款、政府性基金预算财政拨款、国有资本经营预算财政拨款。</w:t>
      </w:r>
    </w:p>
    <w:p w14:paraId="1B894356">
      <w:pPr>
        <w:spacing w:after="120" w:line="360" w:lineRule="auto"/>
        <w:ind w:firstLine="560"/>
        <w:rPr>
          <w:color w:val="auto"/>
        </w:rPr>
      </w:pPr>
      <w:r>
        <w:rPr>
          <w:rFonts w:ascii="Times New Roman" w:hAnsi="Times New Roman" w:eastAsia="仿宋" w:cs="Times New Roman"/>
          <w:color w:val="auto"/>
          <w:sz w:val="28"/>
          <w:szCs w:val="28"/>
        </w:rPr>
        <w:t>二、其他收入：取得的除上述财政拨款收入、上级补助收入、事业收入、经营收入、附属单位上缴收入等以外的各项收入。</w:t>
      </w:r>
    </w:p>
    <w:p w14:paraId="12231AD9">
      <w:pPr>
        <w:spacing w:after="120" w:line="360" w:lineRule="auto"/>
        <w:ind w:firstLine="560"/>
        <w:rPr>
          <w:color w:val="auto"/>
        </w:rPr>
      </w:pPr>
      <w:r>
        <w:rPr>
          <w:rFonts w:ascii="Times New Roman" w:hAnsi="Times New Roman" w:eastAsia="仿宋" w:cs="Times New Roman"/>
          <w:color w:val="auto"/>
          <w:sz w:val="28"/>
          <w:szCs w:val="28"/>
        </w:rPr>
        <w:t>三、年初结转和结余：指单位上年结转本年使用的基本支出结转、项目支出结转和结余、经营结余。</w:t>
      </w:r>
    </w:p>
    <w:p w14:paraId="478CCEB9">
      <w:pPr>
        <w:spacing w:after="120" w:line="360" w:lineRule="auto"/>
        <w:ind w:firstLine="560"/>
        <w:rPr>
          <w:color w:val="auto"/>
        </w:rPr>
      </w:pPr>
      <w:r>
        <w:rPr>
          <w:rFonts w:ascii="Times New Roman" w:hAnsi="Times New Roman" w:eastAsia="仿宋" w:cs="Times New Roman"/>
          <w:color w:val="auto"/>
          <w:sz w:val="28"/>
          <w:szCs w:val="28"/>
        </w:rPr>
        <w:t>四、基本支出：指为保障机构正常运转、完成日常工作任务所发生的支出，包括人员经费和公用经费。</w:t>
      </w:r>
    </w:p>
    <w:p w14:paraId="63BD2BEA">
      <w:pPr>
        <w:spacing w:after="120" w:line="360" w:lineRule="auto"/>
        <w:ind w:firstLine="560"/>
        <w:rPr>
          <w:color w:val="auto"/>
        </w:rPr>
      </w:pPr>
      <w:r>
        <w:rPr>
          <w:rFonts w:ascii="Times New Roman" w:hAnsi="Times New Roman" w:eastAsia="仿宋" w:cs="Times New Roman"/>
          <w:color w:val="auto"/>
          <w:sz w:val="28"/>
          <w:szCs w:val="28"/>
        </w:rPr>
        <w:t>五、项目支出：指在为完成特定的行政工作任务或事业发展目标所发生的支出。</w:t>
      </w:r>
    </w:p>
    <w:p w14:paraId="75A252FA">
      <w:pPr>
        <w:spacing w:after="120" w:line="360" w:lineRule="auto"/>
        <w:ind w:firstLine="560"/>
        <w:rPr>
          <w:color w:val="auto"/>
        </w:rPr>
      </w:pPr>
      <w:r>
        <w:rPr>
          <w:rFonts w:ascii="Times New Roman" w:hAnsi="Times New Roman" w:eastAsia="仿宋" w:cs="Times New Roman"/>
          <w:color w:val="auto"/>
          <w:sz w:val="28"/>
          <w:szCs w:val="28"/>
        </w:rPr>
        <w:t>六、“三公”经费：指部门（单位）用财政拨款安排的因公出国（境）费、公务用车购置及运行维护费和公务接待费。其中，因公出国（境）费反映部门（单位）公务出国（境）的国际旅费、国外城市间交通费、住宿费、伙食费、培训费、公杂费等支出；公务用车购置及运行维护费反映部门（单位）公务用车购置支出（含车辆购置税、牌照费）以及按规定保留的公务用车燃料费、新能源汽车充电费、维修费、过路过桥费、保险费、安全奖励费用等支出；公务接待费反映部门（单位）按规定开支的各类公务接待（含外宾接待）费用。</w:t>
      </w:r>
    </w:p>
    <w:p w14:paraId="4C0D8DDF">
      <w:pPr>
        <w:spacing w:after="120" w:line="360" w:lineRule="auto"/>
        <w:ind w:firstLine="560"/>
        <w:rPr>
          <w:color w:val="auto"/>
        </w:rPr>
      </w:pPr>
      <w:r>
        <w:rPr>
          <w:rFonts w:ascii="Times New Roman" w:hAnsi="Times New Roman" w:eastAsia="仿宋" w:cs="Times New Roman"/>
          <w:color w:val="auto"/>
          <w:sz w:val="28"/>
          <w:szCs w:val="28"/>
        </w:rPr>
        <w:t>七、机关运行经费：指行政单位和参照公务员法管理的事业单位财政拨款基本支出中的公用经费支出，包括办公及印刷费、邮电费、差旅费、会议费、福利费、日常维修费、专用材料及一般设备购置费、办公用房水电费、办公用房取暖费、办公用房物业管理费、公务用车运行维护费及其他费用等。</w:t>
      </w:r>
    </w:p>
    <w:p w14:paraId="48AA0FA8">
      <w:pPr>
        <w:pStyle w:val="2"/>
        <w:spacing w:before="320" w:after="200"/>
        <w:rPr>
          <w:color w:val="auto"/>
        </w:rPr>
      </w:pPr>
      <w:bookmarkStart w:id="20" w:name="_Toc14234"/>
      <w:r>
        <w:rPr>
          <w:rFonts w:ascii="Times New Roman" w:hAnsi="Times New Roman" w:eastAsia="黑体" w:cs="Times New Roman"/>
          <w:b/>
          <w:bCs/>
          <w:color w:val="auto"/>
          <w:sz w:val="32"/>
          <w:szCs w:val="32"/>
        </w:rPr>
        <w:t>第四部分  决算公开联系方式及信息反馈渠道</w:t>
      </w:r>
      <w:bookmarkEnd w:id="20"/>
    </w:p>
    <w:p w14:paraId="0267BFFC">
      <w:pPr>
        <w:spacing w:after="120" w:line="360" w:lineRule="auto"/>
        <w:ind w:firstLine="560"/>
        <w:rPr>
          <w:color w:val="auto"/>
        </w:rPr>
      </w:pPr>
      <w:r>
        <w:rPr>
          <w:rFonts w:ascii="Times New Roman" w:hAnsi="Times New Roman" w:eastAsia="仿宋" w:cs="Times New Roman"/>
          <w:color w:val="auto"/>
          <w:sz w:val="28"/>
          <w:szCs w:val="28"/>
        </w:rPr>
        <w:t>本部门（单位）决算公开信息反馈和联系方式：</w:t>
      </w:r>
    </w:p>
    <w:p w14:paraId="5867E104">
      <w:pPr>
        <w:spacing w:after="120" w:line="360" w:lineRule="auto"/>
        <w:ind w:firstLine="560"/>
        <w:rPr>
          <w:color w:val="auto"/>
        </w:rPr>
      </w:pPr>
      <w:r>
        <w:rPr>
          <w:rFonts w:ascii="Times New Roman" w:hAnsi="Times New Roman" w:eastAsia="仿宋" w:cs="Times New Roman"/>
          <w:color w:val="auto"/>
          <w:sz w:val="28"/>
          <w:szCs w:val="28"/>
        </w:rPr>
        <w:t>联系人：李宇恒        联系电话：0479-8817980</w:t>
      </w:r>
    </w:p>
    <w:p w14:paraId="4C67B866">
      <w:pPr>
        <w:pStyle w:val="2"/>
        <w:spacing w:before="320" w:after="200"/>
        <w:rPr>
          <w:color w:val="auto"/>
        </w:rPr>
      </w:pPr>
      <w:bookmarkStart w:id="21" w:name="_Toc19444"/>
      <w:r>
        <w:rPr>
          <w:rFonts w:ascii="Times New Roman" w:hAnsi="Times New Roman" w:eastAsia="黑体" w:cs="Times New Roman"/>
          <w:b/>
          <w:bCs/>
          <w:color w:val="auto"/>
          <w:sz w:val="32"/>
          <w:szCs w:val="32"/>
        </w:rPr>
        <w:t>第五部分  部门（单位）决算表</w:t>
      </w:r>
      <w:bookmarkEnd w:id="21"/>
    </w:p>
    <w:p w14:paraId="1F67B59F">
      <w:pPr>
        <w:spacing w:after="120" w:line="360" w:lineRule="auto"/>
        <w:ind w:firstLine="560"/>
        <w:rPr>
          <w:rFonts w:hint="eastAsia" w:eastAsia="仿宋"/>
          <w:color w:val="auto"/>
          <w:lang w:val="en-US" w:eastAsia="zh-CN"/>
        </w:rPr>
      </w:pPr>
      <w:r>
        <w:rPr>
          <w:rFonts w:hint="eastAsia"/>
          <w:color w:val="auto"/>
          <w:lang w:val="en-US" w:eastAsia="zh-CN"/>
        </w:rPr>
        <w:t>见附件</w:t>
      </w:r>
    </w:p>
    <w:sectPr>
      <w:footerReference r:id="rId5" w:type="default"/>
      <w:pgSz w:w="11906" w:h="16838"/>
      <w:pgMar w:top="1440" w:right="1440" w:bottom="1440" w:left="1440" w:header="708" w:footer="708" w:gutter="0"/>
      <w:pgNumType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517D6">
    <w:pPr>
      <w:spacing w:after="120" w:line="36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BFA77">
    <w:pPr>
      <w:spacing w:after="120" w:line="360"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AF248">
    <w:pPr>
      <w:spacing w:after="120" w:line="360" w:lineRule="auto"/>
      <w:jc w:val="center"/>
    </w:pPr>
    <w:r>
      <w:rPr>
        <w:rFonts w:ascii="Times New Roman" w:hAnsi="Times New Roman" w:eastAsia="仿宋" w:cs="Times New Roman"/>
        <w:sz w:val="18"/>
        <w:szCs w:val="18"/>
      </w:rPr>
      <w:fldChar w:fldCharType="begin"/>
    </w:r>
    <w:r>
      <w:rPr>
        <w:rFonts w:ascii="Times New Roman" w:hAnsi="Times New Roman" w:eastAsia="仿宋" w:cs="Times New Roman"/>
        <w:sz w:val="18"/>
        <w:szCs w:val="18"/>
      </w:rPr>
      <w:instrText xml:space="preserve">PAGE</w:instrText>
    </w:r>
    <w:r>
      <w:rPr>
        <w:rFonts w:ascii="Times New Roman" w:hAnsi="Times New Roman" w:eastAsia="仿宋" w:cs="Times New Roman"/>
        <w:sz w:val="18"/>
        <w:szCs w:val="18"/>
      </w:rPr>
      <w:fldChar w:fldCharType="separate"/>
    </w:r>
    <w:r>
      <w:rPr>
        <w:rFonts w:ascii="Times New Roman" w:hAnsi="Times New Roman" w:eastAsia="仿宋" w:cs="Times New Roman"/>
        <w:sz w:val="18"/>
        <w:szCs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DB9E40"/>
    <w:multiLevelType w:val="singleLevel"/>
    <w:tmpl w:val="6EDB9E4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5"/>
  </w:compat>
  <w:rsids>
    <w:rsidRoot w:val="00000000"/>
    <w:rsid w:val="07351E35"/>
    <w:rsid w:val="08D50EDD"/>
    <w:rsid w:val="0C290431"/>
    <w:rsid w:val="0FA154E7"/>
    <w:rsid w:val="0FEB5AE1"/>
    <w:rsid w:val="11AC3C07"/>
    <w:rsid w:val="1F040302"/>
    <w:rsid w:val="338F1353"/>
    <w:rsid w:val="385379C2"/>
    <w:rsid w:val="3FFC5807"/>
    <w:rsid w:val="44A57553"/>
    <w:rsid w:val="4DA84629"/>
    <w:rsid w:val="5E0242E9"/>
    <w:rsid w:val="61E416D8"/>
    <w:rsid w:val="63212B0F"/>
    <w:rsid w:val="63B23767"/>
    <w:rsid w:val="6A397252"/>
    <w:rsid w:val="6DCE464C"/>
    <w:rsid w:val="6FAF4FFE"/>
    <w:rsid w:val="728354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sz w:val="28"/>
      <w:szCs w:val="28"/>
    </w:rPr>
  </w:style>
  <w:style w:type="paragraph" w:styleId="2">
    <w:name w:val="heading 1"/>
    <w:next w:val="1"/>
    <w:qFormat/>
    <w:uiPriority w:val="0"/>
    <w:rPr>
      <w:rFonts w:ascii="Times New Roman" w:hAnsi="Times New Roman" w:eastAsia="仿宋" w:cs="Times New Roman"/>
      <w:color w:val="2E74B5"/>
      <w:sz w:val="32"/>
      <w:szCs w:val="32"/>
    </w:rPr>
  </w:style>
  <w:style w:type="paragraph" w:styleId="3">
    <w:name w:val="heading 2"/>
    <w:next w:val="1"/>
    <w:qFormat/>
    <w:uiPriority w:val="0"/>
    <w:rPr>
      <w:rFonts w:ascii="Times New Roman" w:hAnsi="Times New Roman" w:eastAsia="仿宋" w:cs="Times New Roman"/>
      <w:color w:val="2E74B5"/>
      <w:sz w:val="26"/>
      <w:szCs w:val="26"/>
    </w:rPr>
  </w:style>
  <w:style w:type="paragraph" w:styleId="4">
    <w:name w:val="heading 3"/>
    <w:next w:val="1"/>
    <w:qFormat/>
    <w:uiPriority w:val="0"/>
    <w:rPr>
      <w:rFonts w:ascii="Times New Roman" w:hAnsi="Times New Roman" w:eastAsia="仿宋" w:cs="Times New Roman"/>
      <w:color w:val="1F4D78"/>
      <w:sz w:val="24"/>
      <w:szCs w:val="24"/>
    </w:rPr>
  </w:style>
  <w:style w:type="paragraph" w:styleId="5">
    <w:name w:val="heading 4"/>
    <w:next w:val="1"/>
    <w:qFormat/>
    <w:uiPriority w:val="0"/>
    <w:rPr>
      <w:rFonts w:ascii="Times New Roman" w:hAnsi="Times New Roman" w:eastAsia="仿宋" w:cs="Times New Roman"/>
      <w:i/>
      <w:iCs/>
      <w:color w:val="2E74B5"/>
      <w:sz w:val="28"/>
      <w:szCs w:val="28"/>
    </w:rPr>
  </w:style>
  <w:style w:type="paragraph" w:styleId="6">
    <w:name w:val="heading 5"/>
    <w:next w:val="1"/>
    <w:qFormat/>
    <w:uiPriority w:val="0"/>
    <w:rPr>
      <w:rFonts w:ascii="Times New Roman" w:hAnsi="Times New Roman" w:eastAsia="仿宋" w:cs="Times New Roman"/>
      <w:color w:val="2E74B5"/>
      <w:sz w:val="28"/>
      <w:szCs w:val="28"/>
    </w:rPr>
  </w:style>
  <w:style w:type="paragraph" w:styleId="7">
    <w:name w:val="heading 6"/>
    <w:next w:val="1"/>
    <w:qFormat/>
    <w:uiPriority w:val="0"/>
    <w:rPr>
      <w:rFonts w:ascii="Times New Roman" w:hAnsi="Times New Roman" w:eastAsia="仿宋" w:cs="Times New Roman"/>
      <w:color w:val="1F4D78"/>
      <w:sz w:val="28"/>
      <w:szCs w:val="28"/>
    </w:rPr>
  </w:style>
  <w:style w:type="character" w:default="1" w:styleId="16">
    <w:name w:val="Default Paragraph Font"/>
    <w:semiHidden/>
    <w:qFormat/>
    <w:uiPriority w:val="0"/>
  </w:style>
  <w:style w:type="table" w:default="1" w:styleId="15">
    <w:name w:val="Normal Table"/>
    <w:semiHidden/>
    <w:uiPriority w:val="0"/>
    <w:tblPr>
      <w:tblCellMar>
        <w:top w:w="0" w:type="dxa"/>
        <w:left w:w="108" w:type="dxa"/>
        <w:bottom w:w="0" w:type="dxa"/>
        <w:right w:w="108" w:type="dxa"/>
      </w:tblCellMar>
    </w:tblPr>
  </w:style>
  <w:style w:type="paragraph" w:styleId="8">
    <w:name w:val="endnote text"/>
    <w:link w:val="22"/>
    <w:semiHidden/>
    <w:unhideWhenUsed/>
    <w:uiPriority w:val="99"/>
    <w:pPr>
      <w:spacing w:after="0" w:line="240" w:lineRule="auto"/>
    </w:pPr>
    <w:rPr>
      <w:rFonts w:ascii="Times New Roman" w:hAnsi="Times New Roman" w:eastAsia="仿宋" w:cs="Times New Roman"/>
      <w:sz w:val="20"/>
      <w:szCs w:val="20"/>
    </w:rPr>
  </w:style>
  <w:style w:type="paragraph" w:styleId="9">
    <w:name w:val="footer"/>
    <w:basedOn w:val="1"/>
    <w:uiPriority w:val="0"/>
    <w:pPr>
      <w:tabs>
        <w:tab w:val="center" w:pos="4153"/>
        <w:tab w:val="right" w:pos="8306"/>
      </w:tabs>
      <w:snapToGrid w:val="0"/>
      <w:jc w:val="left"/>
    </w:pPr>
    <w:rPr>
      <w:sz w:val="18"/>
    </w:rPr>
  </w:style>
  <w:style w:type="paragraph" w:styleId="10">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uiPriority w:val="0"/>
  </w:style>
  <w:style w:type="paragraph" w:styleId="12">
    <w:name w:val="footnote text"/>
    <w:link w:val="21"/>
    <w:semiHidden/>
    <w:unhideWhenUsed/>
    <w:uiPriority w:val="99"/>
    <w:pPr>
      <w:spacing w:after="0" w:line="240" w:lineRule="auto"/>
    </w:pPr>
    <w:rPr>
      <w:rFonts w:ascii="Times New Roman" w:hAnsi="Times New Roman" w:eastAsia="仿宋" w:cs="Times New Roman"/>
      <w:sz w:val="20"/>
      <w:szCs w:val="20"/>
    </w:rPr>
  </w:style>
  <w:style w:type="paragraph" w:styleId="13">
    <w:name w:val="toc 2"/>
    <w:basedOn w:val="1"/>
    <w:next w:val="1"/>
    <w:uiPriority w:val="0"/>
    <w:pPr>
      <w:ind w:left="420" w:leftChars="200"/>
    </w:pPr>
  </w:style>
  <w:style w:type="paragraph" w:styleId="14">
    <w:name w:val="Title"/>
    <w:qFormat/>
    <w:uiPriority w:val="0"/>
    <w:rPr>
      <w:rFonts w:ascii="Times New Roman" w:hAnsi="Times New Roman" w:eastAsia="仿宋" w:cs="Times New Roman"/>
      <w:sz w:val="56"/>
      <w:szCs w:val="56"/>
    </w:rPr>
  </w:style>
  <w:style w:type="character" w:styleId="17">
    <w:name w:val="endnote reference"/>
    <w:semiHidden/>
    <w:unhideWhenUsed/>
    <w:uiPriority w:val="99"/>
    <w:rPr>
      <w:vertAlign w:val="superscript"/>
    </w:rPr>
  </w:style>
  <w:style w:type="character" w:styleId="18">
    <w:name w:val="Hyperlink"/>
    <w:unhideWhenUsed/>
    <w:uiPriority w:val="99"/>
    <w:rPr>
      <w:color w:val="0563C1"/>
      <w:u w:val="single"/>
    </w:rPr>
  </w:style>
  <w:style w:type="character" w:styleId="19">
    <w:name w:val="footnote reference"/>
    <w:semiHidden/>
    <w:unhideWhenUsed/>
    <w:uiPriority w:val="99"/>
    <w:rPr>
      <w:vertAlign w:val="superscript"/>
    </w:rPr>
  </w:style>
  <w:style w:type="paragraph" w:styleId="20">
    <w:name w:val="List Paragraph"/>
    <w:qFormat/>
    <w:uiPriority w:val="0"/>
    <w:rPr>
      <w:rFonts w:ascii="Times New Roman" w:hAnsi="Times New Roman" w:eastAsia="仿宋" w:cs="Times New Roman"/>
      <w:sz w:val="28"/>
      <w:szCs w:val="28"/>
    </w:rPr>
  </w:style>
  <w:style w:type="character" w:customStyle="1" w:styleId="21">
    <w:name w:val="Footnote Text Char"/>
    <w:link w:val="12"/>
    <w:semiHidden/>
    <w:unhideWhenUsed/>
    <w:uiPriority w:val="99"/>
    <w:rPr>
      <w:sz w:val="20"/>
      <w:szCs w:val="20"/>
    </w:rPr>
  </w:style>
  <w:style w:type="character" w:customStyle="1" w:styleId="22">
    <w:name w:val="Endnote Text Char"/>
    <w:link w:val="8"/>
    <w:semiHidden/>
    <w:unhideWhenUsed/>
    <w:uiPriority w:val="99"/>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19</Pages>
  <Words>7363</Words>
  <Characters>8237</Characters>
  <TotalTime>0</TotalTime>
  <ScaleCrop>false</ScaleCrop>
  <LinksUpToDate>false</LinksUpToDate>
  <CharactersWithSpaces>8328</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2026-08-10T03:47:00Z</dcterms:created>
  <dc:creator>Un-named</dc:creator>
  <cp:lastModifiedBy>LEEXXHG</cp:lastModifiedBy>
  <dcterms:modified xsi:type="dcterms:W3CDTF">2026-08-10T08:33:43Z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eyJoZGlkIjoiNDdlYzg4YmY0OGEwZTM2YzIyODI3ZmFjMjE4ZDljOTIiLCJ1c2VySWQiOiIxOTU1MzU0MTMifQ==</vt:lpwstr>
  </property>
  <property fmtid="{D5CDD505-2E9C-101B-9397-08002B2CF9AE}" pid="3" name="KSOProductBuildVer">
    <vt:lpwstr>2052-12.1.0.28043</vt:lpwstr>
  </property>
  <property fmtid="{D5CDD505-2E9C-101B-9397-08002B2CF9AE}" pid="4" name="ICV">
    <vt:lpwstr>216260F0A3BC462CBCA479367B71B37B_12</vt:lpwstr>
  </property>
</Properties>
</file>